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E35" w:rsidRDefault="00DC3E35" w:rsidP="00DC3E35">
      <w:pPr>
        <w:rPr>
          <w:rFonts w:ascii="Century Gothic" w:hAnsi="Century Gothic"/>
        </w:rPr>
      </w:pPr>
      <w:r>
        <w:rPr>
          <w:rFonts w:ascii="Century Gothic" w:hAnsi="Century Gothic"/>
          <w:b/>
        </w:rPr>
        <w:t>WAPPIG 27 September 2011.   Paper:  Fi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0"/>
      </w:tblGrid>
      <w:tr w:rsidR="00DC3E35" w:rsidTr="00DC3E35">
        <w:tc>
          <w:tcPr>
            <w:tcW w:w="9286" w:type="dxa"/>
            <w:tcBorders>
              <w:top w:val="single" w:sz="4" w:space="0" w:color="auto"/>
              <w:left w:val="single" w:sz="4" w:space="0" w:color="auto"/>
              <w:bottom w:val="single" w:sz="4" w:space="0" w:color="auto"/>
              <w:right w:val="single" w:sz="4" w:space="0" w:color="auto"/>
            </w:tcBorders>
          </w:tcPr>
          <w:p w:rsidR="00DC3E35" w:rsidRDefault="00DC3E35">
            <w:pPr>
              <w:tabs>
                <w:tab w:val="left" w:pos="2760"/>
              </w:tabs>
              <w:rPr>
                <w:rFonts w:ascii="Century Gothic" w:eastAsia="Times New Roman" w:hAnsi="Century Gothic" w:cs="Arial"/>
                <w:b/>
              </w:rPr>
            </w:pPr>
          </w:p>
          <w:p w:rsidR="00DC3E35" w:rsidRDefault="00DC3E35">
            <w:pPr>
              <w:tabs>
                <w:tab w:val="left" w:pos="2760"/>
              </w:tabs>
              <w:rPr>
                <w:rFonts w:ascii="Century Gothic" w:hAnsi="Century Gothic" w:cs="Arial"/>
                <w:b/>
              </w:rPr>
            </w:pPr>
            <w:r>
              <w:rPr>
                <w:rFonts w:ascii="Century Gothic" w:hAnsi="Century Gothic" w:cs="Arial"/>
                <w:b/>
                <w:sz w:val="22"/>
                <w:szCs w:val="22"/>
                <w:u w:val="single"/>
              </w:rPr>
              <w:t>Title</w:t>
            </w:r>
            <w:r>
              <w:rPr>
                <w:rFonts w:ascii="Century Gothic" w:hAnsi="Century Gothic" w:cs="Arial"/>
                <w:b/>
                <w:sz w:val="22"/>
                <w:szCs w:val="22"/>
              </w:rPr>
              <w:t>:  Recruitment to the new sub-specialty of pre-hospital emergency medicine</w:t>
            </w:r>
          </w:p>
          <w:p w:rsidR="00DC3E35" w:rsidRDefault="00DC3E35">
            <w:pPr>
              <w:tabs>
                <w:tab w:val="left" w:pos="2760"/>
              </w:tabs>
              <w:rPr>
                <w:rFonts w:ascii="Century Gothic" w:hAnsi="Century Gothic" w:cs="Arial"/>
                <w:b/>
              </w:rPr>
            </w:pPr>
          </w:p>
        </w:tc>
      </w:tr>
      <w:tr w:rsidR="00DC3E35" w:rsidTr="00DC3E35">
        <w:tc>
          <w:tcPr>
            <w:tcW w:w="9286" w:type="dxa"/>
            <w:tcBorders>
              <w:top w:val="single" w:sz="4" w:space="0" w:color="auto"/>
              <w:left w:val="single" w:sz="4" w:space="0" w:color="auto"/>
              <w:bottom w:val="single" w:sz="4" w:space="0" w:color="auto"/>
              <w:right w:val="single" w:sz="4" w:space="0" w:color="auto"/>
            </w:tcBorders>
          </w:tcPr>
          <w:p w:rsidR="00DC3E35" w:rsidRDefault="00DC3E35">
            <w:pPr>
              <w:tabs>
                <w:tab w:val="left" w:pos="2760"/>
              </w:tabs>
              <w:rPr>
                <w:rFonts w:ascii="Century Gothic" w:eastAsia="Times New Roman" w:hAnsi="Century Gothic" w:cs="Arial"/>
                <w:b/>
              </w:rPr>
            </w:pPr>
          </w:p>
          <w:p w:rsidR="00DC3E35" w:rsidRDefault="00DC3E35" w:rsidP="001B22E8">
            <w:pPr>
              <w:tabs>
                <w:tab w:val="left" w:pos="2760"/>
              </w:tabs>
              <w:rPr>
                <w:rFonts w:ascii="Century Gothic" w:hAnsi="Century Gothic" w:cs="Arial"/>
              </w:rPr>
            </w:pPr>
            <w:r>
              <w:rPr>
                <w:rFonts w:ascii="Century Gothic" w:hAnsi="Century Gothic" w:cs="Arial"/>
                <w:b/>
                <w:sz w:val="22"/>
                <w:szCs w:val="22"/>
                <w:u w:val="single"/>
              </w:rPr>
              <w:t>Author:</w:t>
            </w:r>
            <w:r>
              <w:rPr>
                <w:rFonts w:ascii="Century Gothic" w:hAnsi="Century Gothic" w:cs="Arial"/>
                <w:b/>
                <w:sz w:val="22"/>
                <w:szCs w:val="22"/>
              </w:rPr>
              <w:t xml:space="preserve">   </w:t>
            </w:r>
          </w:p>
        </w:tc>
      </w:tr>
      <w:tr w:rsidR="00DC3E35" w:rsidTr="00DC3E35">
        <w:tc>
          <w:tcPr>
            <w:tcW w:w="9286" w:type="dxa"/>
            <w:tcBorders>
              <w:top w:val="single" w:sz="4" w:space="0" w:color="auto"/>
              <w:left w:val="single" w:sz="4" w:space="0" w:color="auto"/>
              <w:bottom w:val="single" w:sz="4" w:space="0" w:color="auto"/>
              <w:right w:val="single" w:sz="4" w:space="0" w:color="auto"/>
            </w:tcBorders>
          </w:tcPr>
          <w:p w:rsidR="00DC3E35" w:rsidRDefault="00DC3E35">
            <w:pPr>
              <w:tabs>
                <w:tab w:val="left" w:pos="2760"/>
              </w:tabs>
              <w:rPr>
                <w:rFonts w:ascii="Century Gothic" w:eastAsia="Times New Roman" w:hAnsi="Century Gothic" w:cs="Arial"/>
                <w:b/>
              </w:rPr>
            </w:pPr>
          </w:p>
          <w:p w:rsidR="00DC3E35" w:rsidRDefault="00DC3E35">
            <w:pPr>
              <w:tabs>
                <w:tab w:val="left" w:pos="2760"/>
              </w:tabs>
              <w:rPr>
                <w:rFonts w:ascii="Century Gothic" w:hAnsi="Century Gothic" w:cs="Arial"/>
                <w:b/>
              </w:rPr>
            </w:pPr>
            <w:r>
              <w:rPr>
                <w:rFonts w:ascii="Century Gothic" w:hAnsi="Century Gothic" w:cs="Arial"/>
                <w:b/>
                <w:sz w:val="22"/>
                <w:szCs w:val="22"/>
                <w:u w:val="single"/>
              </w:rPr>
              <w:t>Policy Group Sponsors:</w:t>
            </w:r>
            <w:r>
              <w:rPr>
                <w:rFonts w:ascii="Century Gothic" w:hAnsi="Century Gothic" w:cs="Arial"/>
                <w:b/>
                <w:sz w:val="22"/>
                <w:szCs w:val="22"/>
              </w:rPr>
              <w:t xml:space="preserve">  </w:t>
            </w:r>
          </w:p>
          <w:p w:rsidR="00DC3E35" w:rsidRDefault="00DC3E35">
            <w:pPr>
              <w:tabs>
                <w:tab w:val="left" w:pos="2760"/>
              </w:tabs>
              <w:rPr>
                <w:rFonts w:ascii="Century Gothic" w:hAnsi="Century Gothic" w:cs="Arial"/>
                <w:b/>
              </w:rPr>
            </w:pPr>
          </w:p>
        </w:tc>
      </w:tr>
      <w:tr w:rsidR="00DC3E35" w:rsidTr="00DC3E35">
        <w:tc>
          <w:tcPr>
            <w:tcW w:w="9286" w:type="dxa"/>
            <w:tcBorders>
              <w:top w:val="single" w:sz="4" w:space="0" w:color="auto"/>
              <w:left w:val="single" w:sz="4" w:space="0" w:color="auto"/>
              <w:bottom w:val="single" w:sz="4" w:space="0" w:color="auto"/>
              <w:right w:val="single" w:sz="4" w:space="0" w:color="auto"/>
            </w:tcBorders>
          </w:tcPr>
          <w:p w:rsidR="00DC3E35" w:rsidRDefault="00DC3E35">
            <w:pPr>
              <w:tabs>
                <w:tab w:val="left" w:pos="2760"/>
              </w:tabs>
              <w:rPr>
                <w:rFonts w:ascii="Century Gothic" w:eastAsia="Times New Roman" w:hAnsi="Century Gothic" w:cs="Arial"/>
                <w:b/>
              </w:rPr>
            </w:pPr>
          </w:p>
          <w:p w:rsidR="00DC3E35" w:rsidRDefault="00DC3E35">
            <w:pPr>
              <w:jc w:val="both"/>
              <w:rPr>
                <w:rFonts w:ascii="Century Gothic" w:hAnsi="Century Gothic" w:cs="Arial"/>
                <w:b/>
              </w:rPr>
            </w:pPr>
            <w:r>
              <w:rPr>
                <w:rFonts w:ascii="Century Gothic" w:hAnsi="Century Gothic" w:cs="Arial"/>
                <w:b/>
                <w:sz w:val="22"/>
                <w:szCs w:val="22"/>
                <w:u w:val="single"/>
              </w:rPr>
              <w:t>Purpose</w:t>
            </w:r>
            <w:r>
              <w:rPr>
                <w:rFonts w:ascii="Century Gothic" w:hAnsi="Century Gothic" w:cs="Arial"/>
                <w:sz w:val="22"/>
                <w:szCs w:val="22"/>
                <w:u w:val="single"/>
              </w:rPr>
              <w:t>:</w:t>
            </w:r>
            <w:r>
              <w:rPr>
                <w:rFonts w:ascii="Century Gothic" w:hAnsi="Century Gothic" w:cs="Arial"/>
                <w:sz w:val="22"/>
                <w:szCs w:val="22"/>
              </w:rPr>
              <w:t xml:space="preserve">  </w:t>
            </w:r>
            <w:r>
              <w:rPr>
                <w:rFonts w:ascii="Century Gothic" w:hAnsi="Century Gothic" w:cs="Arial"/>
                <w:b/>
                <w:sz w:val="22"/>
                <w:szCs w:val="22"/>
              </w:rPr>
              <w:t>This paper ……</w:t>
            </w:r>
          </w:p>
          <w:p w:rsidR="00DC3E35" w:rsidRDefault="00DC3E35">
            <w:pPr>
              <w:ind w:left="720"/>
              <w:jc w:val="both"/>
              <w:rPr>
                <w:rFonts w:ascii="Century Gothic" w:hAnsi="Century Gothic" w:cs="Arial"/>
              </w:rPr>
            </w:pPr>
          </w:p>
          <w:p w:rsidR="00DC3E35" w:rsidRDefault="00DC3E35">
            <w:pPr>
              <w:rPr>
                <w:rFonts w:ascii="Century Gothic" w:hAnsi="Century Gothic" w:cs="Arial"/>
                <w:b/>
              </w:rPr>
            </w:pPr>
          </w:p>
          <w:p w:rsidR="00DC3E35" w:rsidRDefault="00DC3E35">
            <w:pPr>
              <w:rPr>
                <w:rFonts w:ascii="Century Gothic" w:hAnsi="Century Gothic" w:cs="Arial"/>
                <w:b/>
              </w:rPr>
            </w:pPr>
          </w:p>
          <w:p w:rsidR="00DC3E35" w:rsidRDefault="00DC3E35">
            <w:pPr>
              <w:rPr>
                <w:rFonts w:ascii="Century Gothic" w:hAnsi="Century Gothic" w:cs="Arial"/>
                <w:b/>
              </w:rPr>
            </w:pPr>
          </w:p>
          <w:p w:rsidR="00DC3E35" w:rsidRDefault="00DC3E35">
            <w:pPr>
              <w:rPr>
                <w:rFonts w:ascii="Century Gothic" w:hAnsi="Century Gothic" w:cs="Arial"/>
                <w:b/>
              </w:rPr>
            </w:pPr>
          </w:p>
          <w:p w:rsidR="00DC3E35" w:rsidRDefault="00DC3E35">
            <w:pPr>
              <w:rPr>
                <w:rFonts w:ascii="Century Gothic" w:hAnsi="Century Gothic"/>
              </w:rPr>
            </w:pPr>
          </w:p>
          <w:p w:rsidR="00DC3E35" w:rsidRDefault="00DC3E35">
            <w:pPr>
              <w:rPr>
                <w:rFonts w:ascii="Century Gothic" w:hAnsi="Century Gothic"/>
              </w:rPr>
            </w:pPr>
          </w:p>
        </w:tc>
      </w:tr>
      <w:tr w:rsidR="00DC3E35" w:rsidTr="00DC3E35">
        <w:tc>
          <w:tcPr>
            <w:tcW w:w="9286" w:type="dxa"/>
            <w:tcBorders>
              <w:top w:val="single" w:sz="4" w:space="0" w:color="auto"/>
              <w:left w:val="single" w:sz="4" w:space="0" w:color="auto"/>
              <w:bottom w:val="single" w:sz="4" w:space="0" w:color="auto"/>
              <w:right w:val="single" w:sz="4" w:space="0" w:color="auto"/>
            </w:tcBorders>
          </w:tcPr>
          <w:p w:rsidR="00DC3E35" w:rsidRDefault="00DC3E35">
            <w:pPr>
              <w:rPr>
                <w:rFonts w:ascii="Century Gothic" w:eastAsia="Times New Roman" w:hAnsi="Century Gothic" w:cs="Arial"/>
                <w:b/>
                <w:u w:val="single"/>
              </w:rPr>
            </w:pPr>
          </w:p>
          <w:p w:rsidR="00DC3E35" w:rsidRDefault="00DC3E35">
            <w:pPr>
              <w:rPr>
                <w:rFonts w:ascii="Century Gothic" w:hAnsi="Century Gothic" w:cs="Arial"/>
                <w:b/>
              </w:rPr>
            </w:pPr>
            <w:r>
              <w:rPr>
                <w:rFonts w:ascii="Century Gothic" w:hAnsi="Century Gothic" w:cs="Arial"/>
                <w:b/>
                <w:sz w:val="22"/>
                <w:szCs w:val="22"/>
                <w:u w:val="single"/>
              </w:rPr>
              <w:t>Desired outcome:</w:t>
            </w:r>
            <w:r>
              <w:rPr>
                <w:rFonts w:ascii="Century Gothic" w:hAnsi="Century Gothic" w:cs="Arial"/>
                <w:b/>
                <w:sz w:val="22"/>
                <w:szCs w:val="22"/>
              </w:rPr>
              <w:t xml:space="preserve">   WAPPIG members are asked to:</w:t>
            </w:r>
          </w:p>
          <w:p w:rsidR="00DC3E35" w:rsidRDefault="00DC3E35">
            <w:pPr>
              <w:rPr>
                <w:rFonts w:ascii="Century Gothic" w:hAnsi="Century Gothic" w:cs="Arial"/>
                <w:b/>
              </w:rPr>
            </w:pPr>
          </w:p>
          <w:p w:rsidR="00DC3E35" w:rsidRDefault="00DC3E35">
            <w:pPr>
              <w:rPr>
                <w:rFonts w:ascii="Century Gothic" w:hAnsi="Century Gothic" w:cs="Arial"/>
                <w:b/>
              </w:rPr>
            </w:pPr>
          </w:p>
          <w:p w:rsidR="00DC3E35" w:rsidRDefault="00DC3E35">
            <w:pPr>
              <w:rPr>
                <w:rFonts w:ascii="Century Gothic" w:hAnsi="Century Gothic" w:cs="Arial"/>
                <w:b/>
              </w:rPr>
            </w:pPr>
          </w:p>
          <w:p w:rsidR="00DC3E35" w:rsidRDefault="00DC3E35">
            <w:pPr>
              <w:rPr>
                <w:rFonts w:ascii="Century Gothic" w:hAnsi="Century Gothic" w:cs="Arial"/>
              </w:rPr>
            </w:pPr>
          </w:p>
        </w:tc>
      </w:tr>
      <w:tr w:rsidR="00DC3E35" w:rsidTr="00DC3E35">
        <w:tc>
          <w:tcPr>
            <w:tcW w:w="9286" w:type="dxa"/>
            <w:tcBorders>
              <w:top w:val="single" w:sz="4" w:space="0" w:color="auto"/>
              <w:left w:val="single" w:sz="4" w:space="0" w:color="auto"/>
              <w:bottom w:val="single" w:sz="4" w:space="0" w:color="auto"/>
              <w:right w:val="single" w:sz="4" w:space="0" w:color="auto"/>
            </w:tcBorders>
          </w:tcPr>
          <w:p w:rsidR="00DC3E35" w:rsidRDefault="00DC3E35">
            <w:pPr>
              <w:tabs>
                <w:tab w:val="left" w:pos="2760"/>
              </w:tabs>
              <w:rPr>
                <w:rFonts w:ascii="Century Gothic" w:eastAsia="Times New Roman" w:hAnsi="Century Gothic" w:cs="Arial"/>
                <w:b/>
                <w:u w:val="single"/>
              </w:rPr>
            </w:pPr>
          </w:p>
          <w:p w:rsidR="00DC3E35" w:rsidRDefault="00DC3E35">
            <w:pPr>
              <w:tabs>
                <w:tab w:val="left" w:pos="2760"/>
              </w:tabs>
              <w:rPr>
                <w:rFonts w:ascii="Century Gothic" w:hAnsi="Century Gothic" w:cs="Arial"/>
                <w:b/>
              </w:rPr>
            </w:pPr>
            <w:r>
              <w:rPr>
                <w:rFonts w:ascii="Century Gothic" w:hAnsi="Century Gothic" w:cs="Arial"/>
                <w:b/>
                <w:sz w:val="22"/>
                <w:szCs w:val="22"/>
                <w:u w:val="single"/>
              </w:rPr>
              <w:t>Circulation:</w:t>
            </w:r>
            <w:r>
              <w:rPr>
                <w:rFonts w:ascii="Century Gothic" w:hAnsi="Century Gothic" w:cs="Arial"/>
                <w:sz w:val="22"/>
                <w:szCs w:val="22"/>
              </w:rPr>
              <w:t xml:space="preserve">   </w:t>
            </w:r>
            <w:r>
              <w:rPr>
                <w:rFonts w:ascii="Century Gothic" w:hAnsi="Century Gothic" w:cs="Arial"/>
                <w:b/>
                <w:sz w:val="22"/>
                <w:szCs w:val="22"/>
              </w:rPr>
              <w:t>WAPPIG members only at this stage</w:t>
            </w:r>
          </w:p>
          <w:p w:rsidR="00DC3E35" w:rsidRDefault="00DC3E35">
            <w:pPr>
              <w:tabs>
                <w:tab w:val="left" w:pos="2760"/>
              </w:tabs>
              <w:rPr>
                <w:rFonts w:ascii="Century Gothic" w:hAnsi="Century Gothic" w:cs="Arial"/>
                <w:b/>
              </w:rPr>
            </w:pPr>
          </w:p>
        </w:tc>
      </w:tr>
    </w:tbl>
    <w:p w:rsidR="00DC3E35" w:rsidRDefault="00DC3E35" w:rsidP="00DC3E35">
      <w:pPr>
        <w:rPr>
          <w:rFonts w:ascii="Times New Roman" w:hAnsi="Times New Roman"/>
        </w:rPr>
      </w:pPr>
    </w:p>
    <w:p w:rsidR="00DC3E35" w:rsidRDefault="00DC3E35" w:rsidP="00DC3E35">
      <w:pPr>
        <w:rPr>
          <w:rFonts w:ascii="Arial" w:hAnsi="Arial" w:cs="Arial"/>
          <w:sz w:val="22"/>
          <w:szCs w:val="22"/>
        </w:rPr>
      </w:pPr>
    </w:p>
    <w:p w:rsidR="00541AF3" w:rsidRPr="0026517E" w:rsidRDefault="00541AF3">
      <w:pPr>
        <w:rPr>
          <w:b/>
        </w:rPr>
      </w:pPr>
      <w:r>
        <w:rPr>
          <w:b/>
        </w:rPr>
        <w:lastRenderedPageBreak/>
        <w:t xml:space="preserve">Briefing note: </w:t>
      </w:r>
      <w:r w:rsidRPr="0026517E">
        <w:rPr>
          <w:b/>
        </w:rPr>
        <w:t>Pre-hospital Emergency Medicine</w:t>
      </w:r>
    </w:p>
    <w:p w:rsidR="00541AF3" w:rsidRPr="00B17C5E" w:rsidRDefault="00541AF3">
      <w:pPr>
        <w:rPr>
          <w:rFonts w:ascii="Arial" w:hAnsi="Arial"/>
          <w:b/>
          <w:sz w:val="22"/>
        </w:rPr>
      </w:pPr>
      <w:r w:rsidRPr="00B17C5E">
        <w:rPr>
          <w:rFonts w:ascii="Arial" w:hAnsi="Arial"/>
          <w:b/>
          <w:sz w:val="22"/>
        </w:rPr>
        <w:t xml:space="preserve">1. </w:t>
      </w:r>
      <w:r>
        <w:rPr>
          <w:rFonts w:ascii="Arial" w:hAnsi="Arial"/>
          <w:b/>
          <w:sz w:val="22"/>
        </w:rPr>
        <w:t>Background to</w:t>
      </w:r>
      <w:r w:rsidRPr="00B17C5E">
        <w:rPr>
          <w:rFonts w:ascii="Arial" w:hAnsi="Arial"/>
          <w:b/>
          <w:sz w:val="22"/>
        </w:rPr>
        <w:t xml:space="preserve"> the sub-specialty</w:t>
      </w:r>
    </w:p>
    <w:p w:rsidR="00541AF3" w:rsidRPr="005C64EE" w:rsidRDefault="00541AF3" w:rsidP="007E21C5">
      <w:pPr>
        <w:spacing w:after="120"/>
        <w:jc w:val="both"/>
        <w:rPr>
          <w:rFonts w:ascii="Arial" w:hAnsi="Arial" w:cs="Arial"/>
          <w:sz w:val="22"/>
          <w:lang w:val="en-GB"/>
        </w:rPr>
      </w:pPr>
      <w:r>
        <w:rPr>
          <w:rFonts w:ascii="Arial" w:hAnsi="Arial" w:cs="Arial"/>
          <w:sz w:val="22"/>
          <w:lang w:val="en-GB"/>
        </w:rPr>
        <w:t xml:space="preserve">1.1 </w:t>
      </w:r>
      <w:r w:rsidRPr="005C64EE">
        <w:rPr>
          <w:rFonts w:ascii="Arial" w:hAnsi="Arial" w:cs="Arial"/>
          <w:sz w:val="22"/>
          <w:lang w:val="en-GB"/>
        </w:rPr>
        <w:t xml:space="preserve">The term ‘pre-hospital care’ covers a wide range of medical conditions, medical interventions, clinical providers and physical locations. Medical conditions range from minor illness and injury to life threatening emergencies. Pre-hospital interventions therefore also range from simple first aid to advanced emergency care and pre-hospital emergency anaesthesia. Care providers may be lay first responders, ambulance professionals, nurses or physicians of varying backgrounds. </w:t>
      </w:r>
    </w:p>
    <w:p w:rsidR="00541AF3" w:rsidRPr="005C64EE" w:rsidRDefault="00541AF3" w:rsidP="007E21C5">
      <w:pPr>
        <w:spacing w:after="120"/>
        <w:jc w:val="both"/>
        <w:rPr>
          <w:rFonts w:ascii="Arial" w:hAnsi="Arial" w:cs="Arial"/>
          <w:sz w:val="22"/>
          <w:lang w:val="en-GB"/>
        </w:rPr>
      </w:pPr>
      <w:r>
        <w:rPr>
          <w:rFonts w:ascii="Arial" w:hAnsi="Arial" w:cs="Arial"/>
          <w:sz w:val="22"/>
          <w:lang w:val="en-GB"/>
        </w:rPr>
        <w:t xml:space="preserve">1.2. </w:t>
      </w:r>
      <w:r w:rsidRPr="005C64EE">
        <w:rPr>
          <w:rFonts w:ascii="Arial" w:hAnsi="Arial" w:cs="Arial"/>
          <w:sz w:val="22"/>
          <w:lang w:val="en-GB"/>
        </w:rPr>
        <w:t xml:space="preserve">All of this activity can take place in urban, rural or remote settings and is generally mixed with wider out-of-hospital and unscheduled care. The complexity of unscheduled and urgent care provision is illustrated in figure </w:t>
      </w:r>
      <w:r>
        <w:rPr>
          <w:rFonts w:ascii="Arial" w:hAnsi="Arial" w:cs="Arial"/>
          <w:sz w:val="22"/>
          <w:lang w:val="en-GB"/>
        </w:rPr>
        <w:t>1</w:t>
      </w:r>
      <w:r w:rsidRPr="005C64EE">
        <w:rPr>
          <w:rFonts w:ascii="Arial" w:hAnsi="Arial" w:cs="Arial"/>
          <w:sz w:val="22"/>
          <w:lang w:val="en-GB"/>
        </w:rPr>
        <w:t>.</w:t>
      </w:r>
      <w:r w:rsidRPr="005C64EE">
        <w:rPr>
          <w:rStyle w:val="FootnoteReference"/>
          <w:rFonts w:ascii="Arial" w:hAnsi="Arial" w:cs="Arial"/>
          <w:i/>
          <w:sz w:val="22"/>
          <w:szCs w:val="20"/>
        </w:rPr>
        <w:footnoteReference w:id="1"/>
      </w:r>
      <w:r w:rsidRPr="005C64EE">
        <w:rPr>
          <w:rFonts w:ascii="Arial" w:hAnsi="Arial" w:cs="Arial"/>
          <w:sz w:val="22"/>
          <w:lang w:val="en-GB"/>
        </w:rPr>
        <w:t xml:space="preserve"> </w:t>
      </w:r>
      <w:r w:rsidRPr="005C64EE">
        <w:rPr>
          <w:rFonts w:ascii="Arial" w:hAnsi="Arial"/>
          <w:sz w:val="22"/>
          <w:lang w:val="en-GB"/>
        </w:rPr>
        <w:t>Another useful way to conceptualise this breadth of clinical providers is to use the levels of practice described in the Skills for Health Care</w:t>
      </w:r>
      <w:r>
        <w:rPr>
          <w:rFonts w:ascii="Arial" w:hAnsi="Arial"/>
          <w:sz w:val="22"/>
          <w:lang w:val="en-GB"/>
        </w:rPr>
        <w:t>er Framework for Health (figure 2)</w:t>
      </w:r>
      <w:r w:rsidRPr="005C64EE">
        <w:rPr>
          <w:rFonts w:ascii="Arial" w:hAnsi="Arial"/>
          <w:sz w:val="22"/>
          <w:lang w:val="en-GB"/>
        </w:rPr>
        <w:t>.</w:t>
      </w:r>
      <w:r w:rsidRPr="005C64EE">
        <w:rPr>
          <w:rStyle w:val="FootnoteReference"/>
          <w:rFonts w:ascii="Arial" w:hAnsi="Arial"/>
          <w:sz w:val="22"/>
          <w:lang w:val="en-GB"/>
        </w:rPr>
        <w:footnoteReference w:id="2"/>
      </w:r>
      <w:r w:rsidRPr="005C64EE">
        <w:rPr>
          <w:rFonts w:ascii="Arial" w:hAnsi="Arial"/>
          <w:sz w:val="22"/>
          <w:lang w:val="en-GB"/>
        </w:rPr>
        <w:t xml:space="preserve"> </w:t>
      </w:r>
    </w:p>
    <w:p w:rsidR="00541AF3" w:rsidRDefault="00541AF3" w:rsidP="007E21C5">
      <w:pPr>
        <w:spacing w:after="120"/>
        <w:jc w:val="both"/>
        <w:rPr>
          <w:rFonts w:ascii="Arial" w:hAnsi="Arial" w:cs="Arial"/>
          <w:sz w:val="22"/>
          <w:lang w:val="en-GB"/>
        </w:rPr>
      </w:pPr>
      <w:r>
        <w:rPr>
          <w:rFonts w:ascii="Arial" w:hAnsi="Arial"/>
          <w:sz w:val="22"/>
          <w:lang w:val="en-GB"/>
        </w:rPr>
        <w:t xml:space="preserve">1.3. </w:t>
      </w:r>
      <w:r>
        <w:rPr>
          <w:rFonts w:ascii="Arial" w:hAnsi="Arial" w:cs="Arial"/>
          <w:sz w:val="22"/>
          <w:lang w:val="en-GB"/>
        </w:rPr>
        <w:t>Sub-specialist Pre-hospital Emergency Medicine (PHEM) practice</w:t>
      </w:r>
      <w:r w:rsidRPr="005C64EE">
        <w:rPr>
          <w:rFonts w:ascii="Arial" w:hAnsi="Arial" w:cs="Arial"/>
          <w:sz w:val="22"/>
          <w:lang w:val="en-GB"/>
        </w:rPr>
        <w:t xml:space="preserve"> </w:t>
      </w:r>
      <w:r>
        <w:rPr>
          <w:rFonts w:ascii="Arial" w:hAnsi="Arial" w:cs="Arial"/>
          <w:sz w:val="22"/>
          <w:lang w:val="en-GB"/>
        </w:rPr>
        <w:t>relates to</w:t>
      </w:r>
      <w:r w:rsidRPr="005C64EE">
        <w:rPr>
          <w:rFonts w:ascii="Arial" w:hAnsi="Arial" w:cs="Arial"/>
          <w:sz w:val="22"/>
          <w:lang w:val="en-GB"/>
        </w:rPr>
        <w:t xml:space="preserve"> the </w:t>
      </w:r>
      <w:r>
        <w:rPr>
          <w:rFonts w:ascii="Arial" w:hAnsi="Arial" w:cs="Arial"/>
          <w:b/>
          <w:i/>
          <w:sz w:val="22"/>
          <w:lang w:val="en-GB"/>
        </w:rPr>
        <w:t>Primary Scene T</w:t>
      </w:r>
      <w:r w:rsidRPr="005C64EE">
        <w:rPr>
          <w:rFonts w:ascii="Arial" w:hAnsi="Arial" w:cs="Arial"/>
          <w:b/>
          <w:i/>
          <w:sz w:val="22"/>
          <w:lang w:val="en-GB"/>
        </w:rPr>
        <w:t>ransfer</w:t>
      </w:r>
      <w:r w:rsidRPr="005C64EE">
        <w:rPr>
          <w:rFonts w:ascii="Arial" w:hAnsi="Arial" w:cs="Arial"/>
          <w:sz w:val="22"/>
          <w:lang w:val="en-GB"/>
        </w:rPr>
        <w:t xml:space="preserve"> and </w:t>
      </w:r>
      <w:r w:rsidRPr="005C64EE">
        <w:rPr>
          <w:rFonts w:ascii="Arial" w:hAnsi="Arial" w:cs="Arial"/>
          <w:b/>
          <w:i/>
          <w:sz w:val="22"/>
          <w:lang w:val="en-GB"/>
        </w:rPr>
        <w:t xml:space="preserve">Secondary Emergency Transfer </w:t>
      </w:r>
      <w:r w:rsidRPr="005C64EE">
        <w:rPr>
          <w:rFonts w:ascii="Arial" w:hAnsi="Arial" w:cs="Arial"/>
          <w:sz w:val="22"/>
          <w:lang w:val="en-GB"/>
        </w:rPr>
        <w:t xml:space="preserve">functions </w:t>
      </w:r>
      <w:r>
        <w:rPr>
          <w:rFonts w:ascii="Arial" w:hAnsi="Arial" w:cs="Arial"/>
          <w:sz w:val="22"/>
          <w:lang w:val="en-GB"/>
        </w:rPr>
        <w:t>highlighted in figure 1</w:t>
      </w:r>
      <w:r w:rsidRPr="005C64EE">
        <w:rPr>
          <w:rFonts w:ascii="Arial" w:hAnsi="Arial" w:cs="Arial"/>
          <w:sz w:val="22"/>
          <w:lang w:val="en-GB"/>
        </w:rPr>
        <w:t xml:space="preserve"> at the level of the Consultant (level 8) practitioner illustrated in figure 2. </w:t>
      </w:r>
      <w:r w:rsidRPr="005C64EE">
        <w:rPr>
          <w:rFonts w:ascii="Arial" w:hAnsi="Arial"/>
          <w:sz w:val="22"/>
          <w:lang w:val="en-GB"/>
        </w:rPr>
        <w:t xml:space="preserve">PHEM relates to that area of </w:t>
      </w:r>
      <w:r w:rsidRPr="00B939BB">
        <w:rPr>
          <w:rFonts w:ascii="Arial" w:hAnsi="Arial"/>
          <w:i/>
          <w:sz w:val="22"/>
          <w:lang w:val="en-GB"/>
        </w:rPr>
        <w:t xml:space="preserve">medical </w:t>
      </w:r>
      <w:r w:rsidRPr="005C64EE">
        <w:rPr>
          <w:rFonts w:ascii="Arial" w:hAnsi="Arial"/>
          <w:sz w:val="22"/>
          <w:lang w:val="en-GB"/>
        </w:rPr>
        <w:t xml:space="preserve">care required for seriously ill or injured patients before they reach hospital (on-scene) or during emergency transfer to or between hospitals (in-transit). It represents a unique </w:t>
      </w:r>
      <w:r w:rsidRPr="005C64EE">
        <w:rPr>
          <w:rFonts w:ascii="Arial" w:hAnsi="Arial" w:cs="Arial"/>
          <w:sz w:val="22"/>
          <w:lang w:val="en-GB"/>
        </w:rPr>
        <w:t xml:space="preserve">area of </w:t>
      </w:r>
      <w:r>
        <w:rPr>
          <w:rFonts w:ascii="Arial" w:hAnsi="Arial" w:cs="Arial"/>
          <w:sz w:val="22"/>
          <w:lang w:val="en-GB"/>
        </w:rPr>
        <w:t>medical</w:t>
      </w:r>
      <w:r w:rsidRPr="005C64EE">
        <w:rPr>
          <w:rFonts w:ascii="Arial" w:hAnsi="Arial" w:cs="Arial"/>
          <w:sz w:val="22"/>
          <w:lang w:val="en-GB"/>
        </w:rPr>
        <w:t xml:space="preserve"> practice that requires the focused application of a define</w:t>
      </w:r>
      <w:r>
        <w:rPr>
          <w:rFonts w:ascii="Arial" w:hAnsi="Arial" w:cs="Arial"/>
          <w:sz w:val="22"/>
          <w:lang w:val="en-GB"/>
        </w:rPr>
        <w:t xml:space="preserve">d range of knowledge and skills </w:t>
      </w:r>
      <w:r w:rsidRPr="005C64EE">
        <w:rPr>
          <w:rFonts w:ascii="Arial" w:hAnsi="Arial" w:cs="Arial"/>
          <w:sz w:val="22"/>
          <w:lang w:val="en-GB"/>
        </w:rPr>
        <w:t xml:space="preserve">to a level not normally available outside hospital.  </w:t>
      </w:r>
    </w:p>
    <w:p w:rsidR="00541AF3" w:rsidRPr="007251F6" w:rsidRDefault="00541AF3" w:rsidP="007E21C5">
      <w:pPr>
        <w:spacing w:after="120"/>
        <w:jc w:val="both"/>
        <w:rPr>
          <w:rFonts w:ascii="Arial" w:hAnsi="Arial"/>
          <w:sz w:val="22"/>
          <w:lang w:val="en-GB"/>
        </w:rPr>
      </w:pPr>
      <w:r>
        <w:rPr>
          <w:rFonts w:ascii="Arial" w:hAnsi="Arial"/>
          <w:sz w:val="22"/>
          <w:lang w:val="en-GB"/>
        </w:rPr>
        <w:t xml:space="preserve">1.4. There is a long established tradition of provision of voluntary and charitable emergency pre-hospital care by physicians in the UK. Building on the success of these individuals and services, the aspiration of the IBTPHEM is that </w:t>
      </w:r>
      <w:r w:rsidRPr="00BC054C">
        <w:rPr>
          <w:rFonts w:ascii="Arial" w:hAnsi="Arial"/>
          <w:sz w:val="22"/>
        </w:rPr>
        <w:t xml:space="preserve">each NHS Ambulance Service </w:t>
      </w:r>
      <w:r>
        <w:rPr>
          <w:rFonts w:ascii="Arial" w:hAnsi="Arial"/>
          <w:sz w:val="22"/>
        </w:rPr>
        <w:t>should have</w:t>
      </w:r>
      <w:r w:rsidRPr="00BC054C">
        <w:rPr>
          <w:rFonts w:ascii="Arial" w:hAnsi="Arial"/>
          <w:sz w:val="22"/>
        </w:rPr>
        <w:t xml:space="preserve"> </w:t>
      </w:r>
      <w:r>
        <w:rPr>
          <w:rFonts w:ascii="Arial" w:hAnsi="Arial"/>
          <w:sz w:val="22"/>
        </w:rPr>
        <w:t xml:space="preserve">consistent immediate </w:t>
      </w:r>
      <w:r w:rsidRPr="00BC054C">
        <w:rPr>
          <w:rFonts w:ascii="Arial" w:hAnsi="Arial"/>
          <w:sz w:val="22"/>
        </w:rPr>
        <w:t xml:space="preserve">access to </w:t>
      </w:r>
      <w:r>
        <w:rPr>
          <w:rFonts w:ascii="Arial" w:hAnsi="Arial"/>
          <w:sz w:val="22"/>
        </w:rPr>
        <w:t>deployable sub-specialist</w:t>
      </w:r>
      <w:r w:rsidRPr="00BC054C">
        <w:rPr>
          <w:rFonts w:ascii="Arial" w:hAnsi="Arial"/>
          <w:sz w:val="22"/>
        </w:rPr>
        <w:t xml:space="preserve"> PHEM services 24 </w:t>
      </w:r>
      <w:r>
        <w:rPr>
          <w:rFonts w:ascii="Arial" w:hAnsi="Arial"/>
          <w:sz w:val="22"/>
        </w:rPr>
        <w:t xml:space="preserve">hours a day. Other </w:t>
      </w:r>
      <w:r>
        <w:rPr>
          <w:rFonts w:ascii="Arial" w:hAnsi="Arial"/>
          <w:sz w:val="22"/>
          <w:lang w:val="en-GB"/>
        </w:rPr>
        <w:t xml:space="preserve">key </w:t>
      </w:r>
      <w:r w:rsidRPr="005C64EE">
        <w:rPr>
          <w:rFonts w:ascii="Arial" w:hAnsi="Arial" w:cs="Arial"/>
          <w:sz w:val="22"/>
          <w:lang w:val="en-GB"/>
        </w:rPr>
        <w:t>drivers for the development of PHEM as a medical sub-specialty</w:t>
      </w:r>
      <w:r>
        <w:rPr>
          <w:rFonts w:ascii="Arial" w:hAnsi="Arial" w:cs="Arial"/>
          <w:sz w:val="22"/>
          <w:lang w:val="en-GB"/>
        </w:rPr>
        <w:t xml:space="preserve"> are</w:t>
      </w:r>
      <w:r w:rsidRPr="005C64EE">
        <w:rPr>
          <w:rFonts w:ascii="Arial" w:hAnsi="Arial" w:cs="Arial"/>
          <w:sz w:val="22"/>
          <w:lang w:val="en-GB"/>
        </w:rPr>
        <w:t>:</w:t>
      </w:r>
      <w:r>
        <w:rPr>
          <w:rFonts w:ascii="Arial" w:hAnsi="Arial" w:cs="Arial"/>
          <w:sz w:val="22"/>
          <w:lang w:val="en-GB"/>
        </w:rPr>
        <w:t xml:space="preserve"> </w:t>
      </w:r>
      <w:r w:rsidRPr="005C64EE">
        <w:rPr>
          <w:rFonts w:ascii="Arial" w:hAnsi="Arial" w:cs="Arial"/>
          <w:sz w:val="22"/>
          <w:lang w:val="en-GB"/>
        </w:rPr>
        <w:t xml:space="preserve"> </w:t>
      </w:r>
    </w:p>
    <w:p w:rsidR="00541AF3" w:rsidRPr="005C64EE" w:rsidRDefault="00541AF3" w:rsidP="0026517E">
      <w:pPr>
        <w:numPr>
          <w:ilvl w:val="0"/>
          <w:numId w:val="1"/>
        </w:numPr>
        <w:spacing w:after="0"/>
        <w:ind w:left="567" w:right="787" w:hanging="567"/>
        <w:rPr>
          <w:rFonts w:ascii="Arial" w:hAnsi="Arial" w:cs="Arial"/>
          <w:sz w:val="22"/>
          <w:lang w:val="en-GB"/>
        </w:rPr>
      </w:pPr>
      <w:r w:rsidRPr="005C64EE">
        <w:rPr>
          <w:rFonts w:ascii="Arial" w:hAnsi="Arial" w:cs="Arial"/>
          <w:sz w:val="22"/>
          <w:lang w:val="en-GB"/>
        </w:rPr>
        <w:t xml:space="preserve">to meet </w:t>
      </w:r>
      <w:r>
        <w:rPr>
          <w:rFonts w:ascii="Arial" w:hAnsi="Arial" w:cs="Arial"/>
          <w:sz w:val="22"/>
          <w:lang w:val="en-GB"/>
        </w:rPr>
        <w:t xml:space="preserve">existing </w:t>
      </w:r>
      <w:r w:rsidRPr="005C64EE">
        <w:rPr>
          <w:rFonts w:ascii="Arial" w:hAnsi="Arial" w:cs="Arial"/>
          <w:sz w:val="22"/>
          <w:lang w:val="en-GB"/>
        </w:rPr>
        <w:t>demand for on-scene and in-transit medical support</w:t>
      </w:r>
      <w:r>
        <w:rPr>
          <w:rFonts w:ascii="Arial" w:hAnsi="Arial" w:cs="Arial"/>
          <w:sz w:val="22"/>
          <w:lang w:val="en-GB"/>
        </w:rPr>
        <w:t xml:space="preserve"> (sometimes referred to as pre-hospital ‘enhanced care’),</w:t>
      </w:r>
      <w:r w:rsidRPr="005C64EE">
        <w:rPr>
          <w:rStyle w:val="FootnoteReference"/>
          <w:rFonts w:ascii="Arial" w:hAnsi="Arial" w:cs="Arial"/>
          <w:sz w:val="22"/>
          <w:lang w:val="en-GB"/>
        </w:rPr>
        <w:footnoteReference w:id="3"/>
      </w:r>
      <w:r w:rsidRPr="00BC054C">
        <w:rPr>
          <w:rFonts w:ascii="Arial" w:hAnsi="Arial" w:cs="Arial"/>
          <w:sz w:val="22"/>
          <w:vertAlign w:val="superscript"/>
          <w:lang w:val="en-GB"/>
        </w:rPr>
        <w:t>,</w:t>
      </w:r>
      <w:r>
        <w:rPr>
          <w:rStyle w:val="FootnoteReference"/>
          <w:rFonts w:ascii="Arial" w:hAnsi="Arial" w:cs="Arial"/>
          <w:sz w:val="22"/>
          <w:lang w:val="en-GB"/>
        </w:rPr>
        <w:footnoteReference w:id="4"/>
      </w:r>
    </w:p>
    <w:p w:rsidR="00541AF3" w:rsidRPr="005C64EE" w:rsidRDefault="00541AF3" w:rsidP="0026517E">
      <w:pPr>
        <w:numPr>
          <w:ilvl w:val="0"/>
          <w:numId w:val="1"/>
        </w:numPr>
        <w:spacing w:after="0"/>
        <w:ind w:left="567" w:right="787" w:hanging="567"/>
        <w:rPr>
          <w:rFonts w:ascii="Arial" w:hAnsi="Arial" w:cs="Arial"/>
          <w:sz w:val="22"/>
          <w:lang w:val="en-GB"/>
        </w:rPr>
      </w:pPr>
      <w:r w:rsidRPr="005C64EE">
        <w:rPr>
          <w:rFonts w:ascii="Arial" w:hAnsi="Arial" w:cs="Arial"/>
          <w:sz w:val="22"/>
          <w:lang w:val="en-GB"/>
        </w:rPr>
        <w:t>to improve the quality and standards of pre-hospital critical care</w:t>
      </w:r>
      <w:r>
        <w:rPr>
          <w:rFonts w:ascii="Arial" w:hAnsi="Arial" w:cs="Arial"/>
          <w:sz w:val="22"/>
          <w:lang w:val="en-GB"/>
        </w:rPr>
        <w:t>,</w:t>
      </w:r>
      <w:r>
        <w:rPr>
          <w:rStyle w:val="FootnoteReference"/>
          <w:rFonts w:ascii="Arial" w:hAnsi="Arial" w:cs="Arial"/>
          <w:sz w:val="22"/>
          <w:lang w:val="en-GB"/>
        </w:rPr>
        <w:footnoteReference w:id="5"/>
      </w:r>
    </w:p>
    <w:p w:rsidR="00541AF3" w:rsidRPr="005C64EE" w:rsidRDefault="00541AF3" w:rsidP="0026517E">
      <w:pPr>
        <w:numPr>
          <w:ilvl w:val="0"/>
          <w:numId w:val="1"/>
        </w:numPr>
        <w:spacing w:after="0"/>
        <w:ind w:left="567" w:right="787" w:hanging="567"/>
        <w:rPr>
          <w:rFonts w:ascii="Arial" w:hAnsi="Arial" w:cs="Arial"/>
          <w:sz w:val="22"/>
          <w:lang w:val="en-GB"/>
        </w:rPr>
      </w:pPr>
      <w:r w:rsidRPr="005C64EE">
        <w:rPr>
          <w:rFonts w:ascii="Arial" w:hAnsi="Arial" w:cs="Arial"/>
          <w:sz w:val="22"/>
          <w:lang w:val="en-GB"/>
        </w:rPr>
        <w:t xml:space="preserve">to improve equity of access to on-scene </w:t>
      </w:r>
      <w:r>
        <w:rPr>
          <w:rFonts w:ascii="Arial" w:hAnsi="Arial" w:cs="Arial"/>
          <w:sz w:val="22"/>
          <w:lang w:val="en-GB"/>
        </w:rPr>
        <w:t>and in-transit medical support,</w:t>
      </w:r>
      <w:r>
        <w:rPr>
          <w:rStyle w:val="FootnoteReference"/>
          <w:rFonts w:ascii="Arial" w:hAnsi="Arial" w:cs="Arial"/>
          <w:sz w:val="22"/>
          <w:lang w:val="en-GB"/>
        </w:rPr>
        <w:footnoteReference w:id="6"/>
      </w:r>
    </w:p>
    <w:p w:rsidR="00541AF3" w:rsidRDefault="00541AF3" w:rsidP="0026517E">
      <w:pPr>
        <w:numPr>
          <w:ilvl w:val="0"/>
          <w:numId w:val="1"/>
        </w:numPr>
        <w:spacing w:after="0"/>
        <w:ind w:left="567" w:right="787" w:hanging="567"/>
        <w:rPr>
          <w:rFonts w:ascii="Arial" w:hAnsi="Arial" w:cs="Arial"/>
          <w:sz w:val="22"/>
          <w:lang w:val="en-GB"/>
        </w:rPr>
      </w:pPr>
      <w:r w:rsidRPr="005C64EE">
        <w:rPr>
          <w:rFonts w:ascii="Arial" w:hAnsi="Arial" w:cs="Arial"/>
          <w:sz w:val="22"/>
          <w:lang w:val="en-GB"/>
        </w:rPr>
        <w:t>to improve governance of pre-hospital care and i</w:t>
      </w:r>
      <w:r>
        <w:rPr>
          <w:rFonts w:ascii="Arial" w:hAnsi="Arial" w:cs="Arial"/>
          <w:sz w:val="22"/>
          <w:lang w:val="en-GB"/>
        </w:rPr>
        <w:t>nter-hospital transfer services,</w:t>
      </w:r>
      <w:r>
        <w:rPr>
          <w:rStyle w:val="FootnoteReference"/>
          <w:rFonts w:ascii="Arial" w:hAnsi="Arial" w:cs="Arial"/>
          <w:sz w:val="22"/>
          <w:lang w:val="en-GB"/>
        </w:rPr>
        <w:footnoteReference w:id="7"/>
      </w:r>
    </w:p>
    <w:p w:rsidR="00541AF3" w:rsidRPr="005C64EE" w:rsidRDefault="00541AF3" w:rsidP="0026517E">
      <w:pPr>
        <w:numPr>
          <w:ilvl w:val="0"/>
          <w:numId w:val="1"/>
        </w:numPr>
        <w:spacing w:after="0"/>
        <w:ind w:left="567" w:right="787" w:hanging="567"/>
        <w:rPr>
          <w:rFonts w:ascii="Arial" w:hAnsi="Arial" w:cs="Arial"/>
          <w:sz w:val="22"/>
          <w:lang w:val="en-GB"/>
        </w:rPr>
      </w:pPr>
      <w:r>
        <w:rPr>
          <w:rFonts w:ascii="Arial" w:hAnsi="Arial" w:cs="Arial"/>
          <w:sz w:val="22"/>
          <w:lang w:val="en-GB"/>
        </w:rPr>
        <w:t>to support the Care Quality Commission essential standards for quality and safety in pre-hospital care,</w:t>
      </w:r>
      <w:r>
        <w:rPr>
          <w:rStyle w:val="FootnoteReference"/>
          <w:rFonts w:ascii="Arial" w:hAnsi="Arial" w:cs="Arial"/>
          <w:sz w:val="22"/>
          <w:lang w:val="en-GB"/>
        </w:rPr>
        <w:footnoteReference w:id="8"/>
      </w:r>
    </w:p>
    <w:p w:rsidR="00541AF3" w:rsidRPr="005C64EE" w:rsidRDefault="00541AF3" w:rsidP="0026517E">
      <w:pPr>
        <w:numPr>
          <w:ilvl w:val="0"/>
          <w:numId w:val="1"/>
        </w:numPr>
        <w:spacing w:after="0"/>
        <w:ind w:left="567" w:right="787" w:hanging="567"/>
        <w:rPr>
          <w:rFonts w:ascii="Arial" w:hAnsi="Arial" w:cs="Arial"/>
          <w:sz w:val="22"/>
          <w:lang w:val="en-GB"/>
        </w:rPr>
      </w:pPr>
      <w:r w:rsidRPr="005C64EE">
        <w:rPr>
          <w:rFonts w:ascii="Arial" w:hAnsi="Arial" w:cs="Arial"/>
          <w:sz w:val="22"/>
          <w:lang w:val="en-GB"/>
        </w:rPr>
        <w:t>to improve professional training and develo</w:t>
      </w:r>
      <w:r>
        <w:rPr>
          <w:rFonts w:ascii="Arial" w:hAnsi="Arial" w:cs="Arial"/>
          <w:sz w:val="22"/>
          <w:lang w:val="en-GB"/>
        </w:rPr>
        <w:t>pment of pre-hospital personnel,</w:t>
      </w:r>
      <w:r>
        <w:rPr>
          <w:rStyle w:val="FootnoteReference"/>
          <w:rFonts w:ascii="Arial" w:hAnsi="Arial" w:cs="Arial"/>
          <w:sz w:val="22"/>
          <w:lang w:val="en-GB"/>
        </w:rPr>
        <w:footnoteReference w:id="9"/>
      </w:r>
    </w:p>
    <w:p w:rsidR="00541AF3" w:rsidRPr="005C64EE" w:rsidRDefault="00541AF3" w:rsidP="0026517E">
      <w:pPr>
        <w:numPr>
          <w:ilvl w:val="0"/>
          <w:numId w:val="1"/>
        </w:numPr>
        <w:spacing w:after="0"/>
        <w:ind w:left="567" w:right="787" w:hanging="567"/>
        <w:rPr>
          <w:rFonts w:ascii="Arial" w:hAnsi="Arial" w:cs="Arial"/>
          <w:sz w:val="22"/>
          <w:lang w:val="en-GB"/>
        </w:rPr>
      </w:pPr>
      <w:r w:rsidRPr="005C64EE">
        <w:rPr>
          <w:rFonts w:ascii="Arial" w:hAnsi="Arial" w:cs="Arial"/>
          <w:sz w:val="22"/>
          <w:lang w:val="en-GB"/>
        </w:rPr>
        <w:t xml:space="preserve">to provide a robust </w:t>
      </w:r>
      <w:r w:rsidRPr="00B939BB">
        <w:rPr>
          <w:rFonts w:ascii="Arial" w:hAnsi="Arial" w:cs="Arial"/>
          <w:i/>
          <w:sz w:val="22"/>
          <w:lang w:val="en-GB"/>
        </w:rPr>
        <w:t>medical</w:t>
      </w:r>
      <w:r w:rsidRPr="005C64EE">
        <w:rPr>
          <w:rFonts w:ascii="Arial" w:hAnsi="Arial" w:cs="Arial"/>
          <w:sz w:val="22"/>
          <w:lang w:val="en-GB"/>
        </w:rPr>
        <w:t xml:space="preserve"> incident</w:t>
      </w:r>
      <w:r>
        <w:rPr>
          <w:rFonts w:ascii="Arial" w:hAnsi="Arial" w:cs="Arial"/>
          <w:sz w:val="22"/>
          <w:lang w:val="en-GB"/>
        </w:rPr>
        <w:t xml:space="preserve"> response (MERIT) </w:t>
      </w:r>
      <w:r>
        <w:rPr>
          <w:rStyle w:val="FootnoteReference"/>
          <w:rFonts w:ascii="Arial" w:hAnsi="Arial" w:cs="Arial"/>
          <w:sz w:val="22"/>
          <w:lang w:val="en-GB"/>
        </w:rPr>
        <w:footnoteReference w:id="10"/>
      </w:r>
      <w:r>
        <w:rPr>
          <w:rFonts w:ascii="Arial" w:hAnsi="Arial" w:cs="Arial"/>
          <w:sz w:val="22"/>
          <w:lang w:val="en-GB"/>
        </w:rPr>
        <w:t xml:space="preserve"> capability and, </w:t>
      </w:r>
    </w:p>
    <w:p w:rsidR="00541AF3" w:rsidRPr="00BC054C" w:rsidRDefault="00541AF3" w:rsidP="0026517E">
      <w:pPr>
        <w:numPr>
          <w:ilvl w:val="0"/>
          <w:numId w:val="1"/>
        </w:numPr>
        <w:spacing w:after="0"/>
        <w:ind w:left="567" w:right="787" w:hanging="567"/>
        <w:rPr>
          <w:rFonts w:ascii="Arial" w:hAnsi="Arial" w:cs="Arial"/>
          <w:sz w:val="22"/>
          <w:lang w:val="en-GB"/>
        </w:rPr>
      </w:pPr>
      <w:r w:rsidRPr="005C64EE">
        <w:rPr>
          <w:rFonts w:ascii="Arial" w:hAnsi="Arial" w:cs="Arial"/>
          <w:sz w:val="22"/>
          <w:lang w:val="en-GB"/>
        </w:rPr>
        <w:t xml:space="preserve">to </w:t>
      </w:r>
      <w:r w:rsidRPr="00BC054C">
        <w:rPr>
          <w:rFonts w:ascii="Arial" w:hAnsi="Arial" w:cs="Arial"/>
          <w:sz w:val="22"/>
          <w:lang w:val="en-GB"/>
        </w:rPr>
        <w:t xml:space="preserve">provide </w:t>
      </w:r>
      <w:r w:rsidRPr="00B939BB">
        <w:rPr>
          <w:rFonts w:ascii="Arial" w:hAnsi="Arial" w:cs="Arial"/>
          <w:i/>
          <w:sz w:val="22"/>
          <w:lang w:val="en-GB"/>
        </w:rPr>
        <w:t>medical</w:t>
      </w:r>
      <w:r w:rsidRPr="00BC054C">
        <w:rPr>
          <w:rFonts w:ascii="Arial" w:hAnsi="Arial" w:cs="Arial"/>
          <w:sz w:val="22"/>
          <w:lang w:val="en-GB"/>
        </w:rPr>
        <w:t xml:space="preserve"> leadership for pre-hospital care services and providers.</w:t>
      </w:r>
      <w:r w:rsidRPr="00BC054C">
        <w:rPr>
          <w:rStyle w:val="FootnoteReference"/>
          <w:rFonts w:ascii="Arial" w:hAnsi="Arial" w:cs="Arial"/>
          <w:sz w:val="22"/>
          <w:lang w:val="en-GB"/>
        </w:rPr>
        <w:footnoteReference w:id="11"/>
      </w:r>
      <w:r w:rsidRPr="00BC054C">
        <w:rPr>
          <w:rFonts w:ascii="Arial" w:hAnsi="Arial" w:cs="Arial"/>
          <w:sz w:val="22"/>
          <w:lang w:val="en-GB"/>
        </w:rPr>
        <w:t xml:space="preserve"> </w:t>
      </w:r>
    </w:p>
    <w:p w:rsidR="00541AF3" w:rsidRPr="007E21C5" w:rsidRDefault="00541AF3" w:rsidP="007E21C5">
      <w:pPr>
        <w:jc w:val="both"/>
        <w:rPr>
          <w:rFonts w:ascii="Arial" w:hAnsi="Arial" w:cs="Arial"/>
          <w:lang w:val="en-GB"/>
        </w:rPr>
      </w:pPr>
    </w:p>
    <w:p w:rsidR="00541AF3" w:rsidRPr="005C64EE" w:rsidRDefault="00DC3E35" w:rsidP="00B17C5E">
      <w:pPr>
        <w:rPr>
          <w:rFonts w:ascii="Arial" w:hAnsi="Arial" w:cs="Arial"/>
          <w:sz w:val="22"/>
          <w:lang w:val="en-GB"/>
        </w:rPr>
      </w:pPr>
      <w:r>
        <w:rPr>
          <w:rFonts w:ascii="Arial" w:hAnsi="Arial" w:cs="Arial"/>
          <w:noProof/>
          <w:sz w:val="22"/>
          <w:lang w:val="en-GB" w:eastAsia="en-GB"/>
        </w:rPr>
        <w:drawing>
          <wp:inline distT="0" distB="0" distL="0" distR="0">
            <wp:extent cx="5029200" cy="3774440"/>
            <wp:effectExtent l="19050" t="0" r="0" b="0"/>
            <wp:docPr id="1" name="Picture 3"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de1"/>
                    <pic:cNvPicPr>
                      <a:picLocks noChangeAspect="1" noChangeArrowheads="1"/>
                    </pic:cNvPicPr>
                  </pic:nvPicPr>
                  <pic:blipFill>
                    <a:blip r:embed="rId7"/>
                    <a:srcRect/>
                    <a:stretch>
                      <a:fillRect/>
                    </a:stretch>
                  </pic:blipFill>
                  <pic:spPr bwMode="auto">
                    <a:xfrm>
                      <a:off x="0" y="0"/>
                      <a:ext cx="5029200" cy="3774440"/>
                    </a:xfrm>
                    <a:prstGeom prst="rect">
                      <a:avLst/>
                    </a:prstGeom>
                    <a:noFill/>
                    <a:ln w="9525">
                      <a:noFill/>
                      <a:miter lim="800000"/>
                      <a:headEnd/>
                      <a:tailEnd/>
                    </a:ln>
                  </pic:spPr>
                </pic:pic>
              </a:graphicData>
            </a:graphic>
          </wp:inline>
        </w:drawing>
      </w:r>
    </w:p>
    <w:p w:rsidR="00541AF3" w:rsidRDefault="00541AF3" w:rsidP="007E21C5">
      <w:pPr>
        <w:spacing w:after="0"/>
        <w:ind w:left="567" w:right="503"/>
        <w:jc w:val="center"/>
        <w:rPr>
          <w:rFonts w:ascii="Arial" w:hAnsi="Arial" w:cs="Arial"/>
          <w:i/>
          <w:sz w:val="20"/>
          <w:szCs w:val="20"/>
        </w:rPr>
      </w:pPr>
      <w:r>
        <w:rPr>
          <w:rFonts w:ascii="Arial" w:hAnsi="Arial" w:cs="Arial"/>
          <w:i/>
          <w:sz w:val="20"/>
          <w:szCs w:val="20"/>
        </w:rPr>
        <w:t>Figure 1.</w:t>
      </w:r>
      <w:r w:rsidRPr="00BC054C">
        <w:rPr>
          <w:rFonts w:ascii="Arial" w:hAnsi="Arial" w:cs="Arial"/>
          <w:i/>
          <w:sz w:val="20"/>
          <w:szCs w:val="20"/>
        </w:rPr>
        <w:t xml:space="preserve"> Conceptual model of effective urgent care. Adapted from: Direction of Travel for Urgent Care: a discussion document. Department of Health, October 2006.</w:t>
      </w:r>
    </w:p>
    <w:p w:rsidR="00541AF3" w:rsidRDefault="00541AF3" w:rsidP="007E21C5">
      <w:pPr>
        <w:spacing w:after="0"/>
        <w:ind w:left="567" w:right="503"/>
        <w:jc w:val="center"/>
        <w:rPr>
          <w:rFonts w:ascii="Arial" w:hAnsi="Arial" w:cs="Arial"/>
          <w:i/>
          <w:sz w:val="20"/>
          <w:szCs w:val="20"/>
        </w:rPr>
      </w:pPr>
    </w:p>
    <w:p w:rsidR="00541AF3" w:rsidRDefault="00541AF3" w:rsidP="007E21C5">
      <w:pPr>
        <w:spacing w:after="0"/>
        <w:ind w:left="567" w:right="503"/>
        <w:jc w:val="center"/>
        <w:rPr>
          <w:rFonts w:ascii="Arial" w:hAnsi="Arial" w:cs="Arial"/>
          <w:i/>
          <w:sz w:val="20"/>
          <w:szCs w:val="20"/>
        </w:rPr>
      </w:pPr>
    </w:p>
    <w:p w:rsidR="00541AF3" w:rsidRPr="007E21C5" w:rsidRDefault="00DC3E35" w:rsidP="007E21C5">
      <w:pPr>
        <w:spacing w:after="0"/>
        <w:ind w:left="567" w:right="503"/>
        <w:jc w:val="center"/>
        <w:rPr>
          <w:rFonts w:ascii="Arial" w:hAnsi="Arial" w:cs="Arial"/>
          <w:i/>
          <w:sz w:val="20"/>
          <w:szCs w:val="20"/>
        </w:rPr>
      </w:pPr>
      <w:r>
        <w:rPr>
          <w:rFonts w:ascii="Arial" w:hAnsi="Arial" w:cs="Arial"/>
          <w:noProof/>
          <w:sz w:val="22"/>
          <w:lang w:val="en-GB" w:eastAsia="en-GB"/>
        </w:rPr>
        <w:drawing>
          <wp:inline distT="0" distB="0" distL="0" distR="0">
            <wp:extent cx="3736595" cy="3242945"/>
            <wp:effectExtent l="6095" t="0" r="0" b="0"/>
            <wp:docPr id="2" name="O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535488" cy="3959225"/>
                      <a:chOff x="539750" y="1773238"/>
                      <a:chExt cx="4535488" cy="3959225"/>
                    </a:xfrm>
                  </a:grpSpPr>
                  <a:grpSp>
                    <a:nvGrpSpPr>
                      <a:cNvPr id="27" name="Group 26"/>
                      <a:cNvGrpSpPr/>
                    </a:nvGrpSpPr>
                    <a:grpSpPr>
                      <a:xfrm>
                        <a:off x="539750" y="1773238"/>
                        <a:ext cx="4535488" cy="3959225"/>
                        <a:chOff x="539750" y="1773238"/>
                        <a:chExt cx="4535488" cy="3959225"/>
                      </a:xfrm>
                    </a:grpSpPr>
                    <a:sp>
                      <a:nvSpPr>
                        <a:cNvPr id="49154" name="Rectangle 2"/>
                        <a:cNvSpPr>
                          <a:spLocks noChangeArrowheads="1"/>
                        </a:cNvSpPr>
                      </a:nvSpPr>
                      <a:spPr bwMode="auto">
                        <a:xfrm>
                          <a:off x="539750" y="1773238"/>
                          <a:ext cx="4535488" cy="3959225"/>
                        </a:xfrm>
                        <a:prstGeom prst="rect">
                          <a:avLst/>
                        </a:prstGeom>
                        <a:solidFill>
                          <a:schemeClr val="bg1"/>
                        </a:solidFill>
                        <a:ln w="9525">
                          <a:solidFill>
                            <a:schemeClr val="tx1"/>
                          </a:solidFill>
                          <a:miter lim="800000"/>
                          <a:headEnd/>
                          <a:tailEnd/>
                        </a:ln>
                      </a:spPr>
                      <a:txSp>
                        <a:txBody>
                          <a:bodyPr wrap="none" anchor="ctr">
                            <a:prstTxWarp prst="textNoShape">
                              <a:avLst/>
                            </a:prstTxWarp>
                          </a:bodyPr>
                          <a:lstStyle>
                            <a:defPPr>
                              <a:defRPr lang="en-US"/>
                            </a:defPPr>
                            <a:lvl1pPr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1pPr>
                            <a:lvl2pPr marL="4572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2pPr>
                            <a:lvl3pPr marL="9144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3pPr>
                            <a:lvl4pPr marL="13716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4pPr>
                            <a:lvl5pPr marL="18288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5pPr>
                            <a:lvl6pPr marL="2286000" algn="l" defTabSz="457200" rtl="0" eaLnBrk="1" latinLnBrk="0" hangingPunct="1">
                              <a:defRPr kern="1200">
                                <a:solidFill>
                                  <a:schemeClr val="tx1"/>
                                </a:solidFill>
                                <a:latin typeface="Arial" charset="0"/>
                                <a:ea typeface="ＭＳ Ｐゴシック" charset="-128"/>
                                <a:cs typeface="ＭＳ Ｐゴシック" charset="-128"/>
                              </a:defRPr>
                            </a:lvl6pPr>
                            <a:lvl7pPr marL="2743200" algn="l" defTabSz="457200" rtl="0" eaLnBrk="1" latinLnBrk="0" hangingPunct="1">
                              <a:defRPr kern="1200">
                                <a:solidFill>
                                  <a:schemeClr val="tx1"/>
                                </a:solidFill>
                                <a:latin typeface="Arial" charset="0"/>
                                <a:ea typeface="ＭＳ Ｐゴシック" charset="-128"/>
                                <a:cs typeface="ＭＳ Ｐゴシック" charset="-128"/>
                              </a:defRPr>
                            </a:lvl7pPr>
                            <a:lvl8pPr marL="3200400" algn="l" defTabSz="457200" rtl="0" eaLnBrk="1" latinLnBrk="0" hangingPunct="1">
                              <a:defRPr kern="1200">
                                <a:solidFill>
                                  <a:schemeClr val="tx1"/>
                                </a:solidFill>
                                <a:latin typeface="Arial" charset="0"/>
                                <a:ea typeface="ＭＳ Ｐゴシック" charset="-128"/>
                                <a:cs typeface="ＭＳ Ｐゴシック" charset="-128"/>
                              </a:defRPr>
                            </a:lvl8pPr>
                            <a:lvl9pPr marL="3657600" algn="l" defTabSz="457200" rtl="0" eaLnBrk="1" latinLnBrk="0" hangingPunct="1">
                              <a:defRPr kern="1200">
                                <a:solidFill>
                                  <a:schemeClr val="tx1"/>
                                </a:solidFill>
                                <a:latin typeface="Arial" charset="0"/>
                                <a:ea typeface="ＭＳ Ｐゴシック" charset="-128"/>
                                <a:cs typeface="ＭＳ Ｐゴシック" charset="-128"/>
                              </a:defRPr>
                            </a:lvl9pPr>
                          </a:lstStyle>
                          <a:p>
                            <a:endParaRPr lang="en-US">
                              <a:latin typeface="Calibri" charset="0"/>
                            </a:endParaRPr>
                          </a:p>
                        </a:txBody>
                        <a:useSpRect/>
                      </a:txSp>
                    </a:sp>
                    <a:sp>
                      <a:nvSpPr>
                        <a:cNvPr id="49155" name="Oval 3"/>
                        <a:cNvSpPr>
                          <a:spLocks noChangeArrowheads="1"/>
                        </a:cNvSpPr>
                      </a:nvSpPr>
                      <a:spPr bwMode="auto">
                        <a:xfrm>
                          <a:off x="4210050" y="5084763"/>
                          <a:ext cx="504825" cy="504825"/>
                        </a:xfrm>
                        <a:prstGeom prst="ellipse">
                          <a:avLst/>
                        </a:prstGeom>
                        <a:solidFill>
                          <a:srgbClr val="FFFF00"/>
                        </a:solidFill>
                        <a:ln w="9525">
                          <a:solidFill>
                            <a:schemeClr val="tx1"/>
                          </a:solidFill>
                          <a:round/>
                          <a:headEnd/>
                          <a:tailEnd/>
                        </a:ln>
                      </a:spPr>
                      <a:txSp>
                        <a:txBody>
                          <a:bodyPr wrap="none" anchor="ctr">
                            <a:prstTxWarp prst="textNoShape">
                              <a:avLst/>
                            </a:prstTxWarp>
                          </a:bodyPr>
                          <a:lstStyle>
                            <a:defPPr>
                              <a:defRPr lang="en-US"/>
                            </a:defPPr>
                            <a:lvl1pPr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1pPr>
                            <a:lvl2pPr marL="4572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2pPr>
                            <a:lvl3pPr marL="9144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3pPr>
                            <a:lvl4pPr marL="13716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4pPr>
                            <a:lvl5pPr marL="18288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5pPr>
                            <a:lvl6pPr marL="2286000" algn="l" defTabSz="457200" rtl="0" eaLnBrk="1" latinLnBrk="0" hangingPunct="1">
                              <a:defRPr kern="1200">
                                <a:solidFill>
                                  <a:schemeClr val="tx1"/>
                                </a:solidFill>
                                <a:latin typeface="Arial" charset="0"/>
                                <a:ea typeface="ＭＳ Ｐゴシック" charset="-128"/>
                                <a:cs typeface="ＭＳ Ｐゴシック" charset="-128"/>
                              </a:defRPr>
                            </a:lvl6pPr>
                            <a:lvl7pPr marL="2743200" algn="l" defTabSz="457200" rtl="0" eaLnBrk="1" latinLnBrk="0" hangingPunct="1">
                              <a:defRPr kern="1200">
                                <a:solidFill>
                                  <a:schemeClr val="tx1"/>
                                </a:solidFill>
                                <a:latin typeface="Arial" charset="0"/>
                                <a:ea typeface="ＭＳ Ｐゴシック" charset="-128"/>
                                <a:cs typeface="ＭＳ Ｐゴシック" charset="-128"/>
                              </a:defRPr>
                            </a:lvl7pPr>
                            <a:lvl8pPr marL="3200400" algn="l" defTabSz="457200" rtl="0" eaLnBrk="1" latinLnBrk="0" hangingPunct="1">
                              <a:defRPr kern="1200">
                                <a:solidFill>
                                  <a:schemeClr val="tx1"/>
                                </a:solidFill>
                                <a:latin typeface="Arial" charset="0"/>
                                <a:ea typeface="ＭＳ Ｐゴシック" charset="-128"/>
                                <a:cs typeface="ＭＳ Ｐゴシック" charset="-128"/>
                              </a:defRPr>
                            </a:lvl8pPr>
                            <a:lvl9pPr marL="3657600" algn="l" defTabSz="457200" rtl="0" eaLnBrk="1" latinLnBrk="0" hangingPunct="1">
                              <a:defRPr kern="1200">
                                <a:solidFill>
                                  <a:schemeClr val="tx1"/>
                                </a:solidFill>
                                <a:latin typeface="Arial" charset="0"/>
                                <a:ea typeface="ＭＳ Ｐゴシック" charset="-128"/>
                                <a:cs typeface="ＭＳ Ｐゴシック" charset="-128"/>
                              </a:defRPr>
                            </a:lvl9pPr>
                          </a:lstStyle>
                          <a:p>
                            <a:pPr algn="ctr"/>
                            <a:r>
                              <a:rPr lang="en-GB" sz="1200" b="1">
                                <a:latin typeface="Calibri" charset="0"/>
                              </a:rPr>
                              <a:t>1</a:t>
                            </a:r>
                            <a:endParaRPr lang="en-US" sz="1200" b="1">
                              <a:latin typeface="Calibri" charset="0"/>
                            </a:endParaRPr>
                          </a:p>
                        </a:txBody>
                        <a:useSpRect/>
                      </a:txSp>
                    </a:sp>
                    <a:sp>
                      <a:nvSpPr>
                        <a:cNvPr id="49156" name="Oval 4"/>
                        <a:cNvSpPr>
                          <a:spLocks noChangeArrowheads="1"/>
                        </a:cNvSpPr>
                      </a:nvSpPr>
                      <a:spPr bwMode="auto">
                        <a:xfrm>
                          <a:off x="4210050" y="4724400"/>
                          <a:ext cx="504825" cy="504825"/>
                        </a:xfrm>
                        <a:prstGeom prst="ellipse">
                          <a:avLst/>
                        </a:prstGeom>
                        <a:solidFill>
                          <a:srgbClr val="CC00CC"/>
                        </a:solidFill>
                        <a:ln w="9525">
                          <a:solidFill>
                            <a:schemeClr val="tx1"/>
                          </a:solidFill>
                          <a:round/>
                          <a:headEnd/>
                          <a:tailEnd/>
                        </a:ln>
                      </a:spPr>
                      <a:txSp>
                        <a:txBody>
                          <a:bodyPr wrap="none" anchor="ctr">
                            <a:prstTxWarp prst="textNoShape">
                              <a:avLst/>
                            </a:prstTxWarp>
                          </a:bodyPr>
                          <a:lstStyle>
                            <a:defPPr>
                              <a:defRPr lang="en-US"/>
                            </a:defPPr>
                            <a:lvl1pPr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1pPr>
                            <a:lvl2pPr marL="4572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2pPr>
                            <a:lvl3pPr marL="9144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3pPr>
                            <a:lvl4pPr marL="13716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4pPr>
                            <a:lvl5pPr marL="18288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5pPr>
                            <a:lvl6pPr marL="2286000" algn="l" defTabSz="457200" rtl="0" eaLnBrk="1" latinLnBrk="0" hangingPunct="1">
                              <a:defRPr kern="1200">
                                <a:solidFill>
                                  <a:schemeClr val="tx1"/>
                                </a:solidFill>
                                <a:latin typeface="Arial" charset="0"/>
                                <a:ea typeface="ＭＳ Ｐゴシック" charset="-128"/>
                                <a:cs typeface="ＭＳ Ｐゴシック" charset="-128"/>
                              </a:defRPr>
                            </a:lvl6pPr>
                            <a:lvl7pPr marL="2743200" algn="l" defTabSz="457200" rtl="0" eaLnBrk="1" latinLnBrk="0" hangingPunct="1">
                              <a:defRPr kern="1200">
                                <a:solidFill>
                                  <a:schemeClr val="tx1"/>
                                </a:solidFill>
                                <a:latin typeface="Arial" charset="0"/>
                                <a:ea typeface="ＭＳ Ｐゴシック" charset="-128"/>
                                <a:cs typeface="ＭＳ Ｐゴシック" charset="-128"/>
                              </a:defRPr>
                            </a:lvl7pPr>
                            <a:lvl8pPr marL="3200400" algn="l" defTabSz="457200" rtl="0" eaLnBrk="1" latinLnBrk="0" hangingPunct="1">
                              <a:defRPr kern="1200">
                                <a:solidFill>
                                  <a:schemeClr val="tx1"/>
                                </a:solidFill>
                                <a:latin typeface="Arial" charset="0"/>
                                <a:ea typeface="ＭＳ Ｐゴシック" charset="-128"/>
                                <a:cs typeface="ＭＳ Ｐゴシック" charset="-128"/>
                              </a:defRPr>
                            </a:lvl8pPr>
                            <a:lvl9pPr marL="3657600" algn="l" defTabSz="457200" rtl="0" eaLnBrk="1" latinLnBrk="0" hangingPunct="1">
                              <a:defRPr kern="1200">
                                <a:solidFill>
                                  <a:schemeClr val="tx1"/>
                                </a:solidFill>
                                <a:latin typeface="Arial" charset="0"/>
                                <a:ea typeface="ＭＳ Ｐゴシック" charset="-128"/>
                                <a:cs typeface="ＭＳ Ｐゴシック" charset="-128"/>
                              </a:defRPr>
                            </a:lvl9pPr>
                          </a:lstStyle>
                          <a:p>
                            <a:pPr algn="ctr"/>
                            <a:r>
                              <a:rPr lang="en-GB" sz="1200" b="1">
                                <a:solidFill>
                                  <a:schemeClr val="bg1"/>
                                </a:solidFill>
                                <a:latin typeface="Calibri" charset="0"/>
                              </a:rPr>
                              <a:t>2</a:t>
                            </a:r>
                            <a:endParaRPr lang="en-US" sz="1200" b="1">
                              <a:solidFill>
                                <a:schemeClr val="bg1"/>
                              </a:solidFill>
                              <a:latin typeface="Calibri" charset="0"/>
                            </a:endParaRPr>
                          </a:p>
                        </a:txBody>
                        <a:useSpRect/>
                      </a:txSp>
                    </a:sp>
                    <a:sp>
                      <a:nvSpPr>
                        <a:cNvPr id="49157" name="Oval 5"/>
                        <a:cNvSpPr>
                          <a:spLocks noChangeArrowheads="1"/>
                        </a:cNvSpPr>
                      </a:nvSpPr>
                      <a:spPr bwMode="auto">
                        <a:xfrm>
                          <a:off x="4210050" y="4364038"/>
                          <a:ext cx="504825" cy="504825"/>
                        </a:xfrm>
                        <a:prstGeom prst="ellipse">
                          <a:avLst/>
                        </a:prstGeom>
                        <a:solidFill>
                          <a:srgbClr val="99FF33"/>
                        </a:solidFill>
                        <a:ln w="9525">
                          <a:solidFill>
                            <a:schemeClr val="tx1"/>
                          </a:solidFill>
                          <a:round/>
                          <a:headEnd/>
                          <a:tailEnd/>
                        </a:ln>
                      </a:spPr>
                      <a:txSp>
                        <a:txBody>
                          <a:bodyPr wrap="none" anchor="ctr">
                            <a:prstTxWarp prst="textNoShape">
                              <a:avLst/>
                            </a:prstTxWarp>
                          </a:bodyPr>
                          <a:lstStyle>
                            <a:defPPr>
                              <a:defRPr lang="en-US"/>
                            </a:defPPr>
                            <a:lvl1pPr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1pPr>
                            <a:lvl2pPr marL="4572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2pPr>
                            <a:lvl3pPr marL="9144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3pPr>
                            <a:lvl4pPr marL="13716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4pPr>
                            <a:lvl5pPr marL="18288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5pPr>
                            <a:lvl6pPr marL="2286000" algn="l" defTabSz="457200" rtl="0" eaLnBrk="1" latinLnBrk="0" hangingPunct="1">
                              <a:defRPr kern="1200">
                                <a:solidFill>
                                  <a:schemeClr val="tx1"/>
                                </a:solidFill>
                                <a:latin typeface="Arial" charset="0"/>
                                <a:ea typeface="ＭＳ Ｐゴシック" charset="-128"/>
                                <a:cs typeface="ＭＳ Ｐゴシック" charset="-128"/>
                              </a:defRPr>
                            </a:lvl6pPr>
                            <a:lvl7pPr marL="2743200" algn="l" defTabSz="457200" rtl="0" eaLnBrk="1" latinLnBrk="0" hangingPunct="1">
                              <a:defRPr kern="1200">
                                <a:solidFill>
                                  <a:schemeClr val="tx1"/>
                                </a:solidFill>
                                <a:latin typeface="Arial" charset="0"/>
                                <a:ea typeface="ＭＳ Ｐゴシック" charset="-128"/>
                                <a:cs typeface="ＭＳ Ｐゴシック" charset="-128"/>
                              </a:defRPr>
                            </a:lvl7pPr>
                            <a:lvl8pPr marL="3200400" algn="l" defTabSz="457200" rtl="0" eaLnBrk="1" latinLnBrk="0" hangingPunct="1">
                              <a:defRPr kern="1200">
                                <a:solidFill>
                                  <a:schemeClr val="tx1"/>
                                </a:solidFill>
                                <a:latin typeface="Arial" charset="0"/>
                                <a:ea typeface="ＭＳ Ｐゴシック" charset="-128"/>
                                <a:cs typeface="ＭＳ Ｐゴシック" charset="-128"/>
                              </a:defRPr>
                            </a:lvl8pPr>
                            <a:lvl9pPr marL="3657600" algn="l" defTabSz="457200" rtl="0" eaLnBrk="1" latinLnBrk="0" hangingPunct="1">
                              <a:defRPr kern="1200">
                                <a:solidFill>
                                  <a:schemeClr val="tx1"/>
                                </a:solidFill>
                                <a:latin typeface="Arial" charset="0"/>
                                <a:ea typeface="ＭＳ Ｐゴシック" charset="-128"/>
                                <a:cs typeface="ＭＳ Ｐゴシック" charset="-128"/>
                              </a:defRPr>
                            </a:lvl9pPr>
                          </a:lstStyle>
                          <a:p>
                            <a:pPr algn="ctr"/>
                            <a:r>
                              <a:rPr lang="en-GB" sz="1200" b="1">
                                <a:solidFill>
                                  <a:schemeClr val="bg1"/>
                                </a:solidFill>
                                <a:latin typeface="Calibri" charset="0"/>
                              </a:rPr>
                              <a:t>3</a:t>
                            </a:r>
                            <a:endParaRPr lang="en-US" sz="1200" b="1">
                              <a:solidFill>
                                <a:schemeClr val="bg1"/>
                              </a:solidFill>
                              <a:latin typeface="Calibri" charset="0"/>
                            </a:endParaRPr>
                          </a:p>
                        </a:txBody>
                        <a:useSpRect/>
                      </a:txSp>
                    </a:sp>
                    <a:sp>
                      <a:nvSpPr>
                        <a:cNvPr id="49158" name="Oval 6"/>
                        <a:cNvSpPr>
                          <a:spLocks noChangeArrowheads="1"/>
                        </a:cNvSpPr>
                      </a:nvSpPr>
                      <a:spPr bwMode="auto">
                        <a:xfrm>
                          <a:off x="4210050" y="4005263"/>
                          <a:ext cx="504825" cy="504825"/>
                        </a:xfrm>
                        <a:prstGeom prst="ellipse">
                          <a:avLst/>
                        </a:prstGeom>
                        <a:solidFill>
                          <a:srgbClr val="9933FF"/>
                        </a:solidFill>
                        <a:ln w="9525">
                          <a:solidFill>
                            <a:schemeClr val="tx1"/>
                          </a:solidFill>
                          <a:round/>
                          <a:headEnd/>
                          <a:tailEnd/>
                        </a:ln>
                      </a:spPr>
                      <a:txSp>
                        <a:txBody>
                          <a:bodyPr wrap="none" anchor="ctr">
                            <a:prstTxWarp prst="textNoShape">
                              <a:avLst/>
                            </a:prstTxWarp>
                          </a:bodyPr>
                          <a:lstStyle>
                            <a:defPPr>
                              <a:defRPr lang="en-US"/>
                            </a:defPPr>
                            <a:lvl1pPr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1pPr>
                            <a:lvl2pPr marL="4572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2pPr>
                            <a:lvl3pPr marL="9144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3pPr>
                            <a:lvl4pPr marL="13716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4pPr>
                            <a:lvl5pPr marL="18288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5pPr>
                            <a:lvl6pPr marL="2286000" algn="l" defTabSz="457200" rtl="0" eaLnBrk="1" latinLnBrk="0" hangingPunct="1">
                              <a:defRPr kern="1200">
                                <a:solidFill>
                                  <a:schemeClr val="tx1"/>
                                </a:solidFill>
                                <a:latin typeface="Arial" charset="0"/>
                                <a:ea typeface="ＭＳ Ｐゴシック" charset="-128"/>
                                <a:cs typeface="ＭＳ Ｐゴシック" charset="-128"/>
                              </a:defRPr>
                            </a:lvl6pPr>
                            <a:lvl7pPr marL="2743200" algn="l" defTabSz="457200" rtl="0" eaLnBrk="1" latinLnBrk="0" hangingPunct="1">
                              <a:defRPr kern="1200">
                                <a:solidFill>
                                  <a:schemeClr val="tx1"/>
                                </a:solidFill>
                                <a:latin typeface="Arial" charset="0"/>
                                <a:ea typeface="ＭＳ Ｐゴシック" charset="-128"/>
                                <a:cs typeface="ＭＳ Ｐゴシック" charset="-128"/>
                              </a:defRPr>
                            </a:lvl7pPr>
                            <a:lvl8pPr marL="3200400" algn="l" defTabSz="457200" rtl="0" eaLnBrk="1" latinLnBrk="0" hangingPunct="1">
                              <a:defRPr kern="1200">
                                <a:solidFill>
                                  <a:schemeClr val="tx1"/>
                                </a:solidFill>
                                <a:latin typeface="Arial" charset="0"/>
                                <a:ea typeface="ＭＳ Ｐゴシック" charset="-128"/>
                                <a:cs typeface="ＭＳ Ｐゴシック" charset="-128"/>
                              </a:defRPr>
                            </a:lvl8pPr>
                            <a:lvl9pPr marL="3657600" algn="l" defTabSz="457200" rtl="0" eaLnBrk="1" latinLnBrk="0" hangingPunct="1">
                              <a:defRPr kern="1200">
                                <a:solidFill>
                                  <a:schemeClr val="tx1"/>
                                </a:solidFill>
                                <a:latin typeface="Arial" charset="0"/>
                                <a:ea typeface="ＭＳ Ｐゴシック" charset="-128"/>
                                <a:cs typeface="ＭＳ Ｐゴシック" charset="-128"/>
                              </a:defRPr>
                            </a:lvl9pPr>
                          </a:lstStyle>
                          <a:p>
                            <a:pPr algn="ctr"/>
                            <a:r>
                              <a:rPr lang="en-GB" sz="1200" b="1">
                                <a:solidFill>
                                  <a:schemeClr val="bg1"/>
                                </a:solidFill>
                                <a:latin typeface="Calibri" charset="0"/>
                              </a:rPr>
                              <a:t>4</a:t>
                            </a:r>
                            <a:endParaRPr lang="en-US" sz="1200" b="1">
                              <a:solidFill>
                                <a:schemeClr val="bg1"/>
                              </a:solidFill>
                              <a:latin typeface="Calibri" charset="0"/>
                            </a:endParaRPr>
                          </a:p>
                        </a:txBody>
                        <a:useSpRect/>
                      </a:txSp>
                    </a:sp>
                    <a:sp>
                      <a:nvSpPr>
                        <a:cNvPr id="49159" name="Oval 7"/>
                        <a:cNvSpPr>
                          <a:spLocks noChangeArrowheads="1"/>
                        </a:cNvSpPr>
                      </a:nvSpPr>
                      <a:spPr bwMode="auto">
                        <a:xfrm>
                          <a:off x="4210050" y="3644900"/>
                          <a:ext cx="504825" cy="504825"/>
                        </a:xfrm>
                        <a:prstGeom prst="ellipse">
                          <a:avLst/>
                        </a:prstGeom>
                        <a:solidFill>
                          <a:srgbClr val="FF0000"/>
                        </a:solidFill>
                        <a:ln w="9525">
                          <a:solidFill>
                            <a:schemeClr val="tx1"/>
                          </a:solidFill>
                          <a:round/>
                          <a:headEnd/>
                          <a:tailEnd/>
                        </a:ln>
                      </a:spPr>
                      <a:txSp>
                        <a:txBody>
                          <a:bodyPr wrap="none" anchor="ctr">
                            <a:prstTxWarp prst="textNoShape">
                              <a:avLst/>
                            </a:prstTxWarp>
                          </a:bodyPr>
                          <a:lstStyle>
                            <a:defPPr>
                              <a:defRPr lang="en-US"/>
                            </a:defPPr>
                            <a:lvl1pPr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1pPr>
                            <a:lvl2pPr marL="4572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2pPr>
                            <a:lvl3pPr marL="9144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3pPr>
                            <a:lvl4pPr marL="13716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4pPr>
                            <a:lvl5pPr marL="18288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5pPr>
                            <a:lvl6pPr marL="2286000" algn="l" defTabSz="457200" rtl="0" eaLnBrk="1" latinLnBrk="0" hangingPunct="1">
                              <a:defRPr kern="1200">
                                <a:solidFill>
                                  <a:schemeClr val="tx1"/>
                                </a:solidFill>
                                <a:latin typeface="Arial" charset="0"/>
                                <a:ea typeface="ＭＳ Ｐゴシック" charset="-128"/>
                                <a:cs typeface="ＭＳ Ｐゴシック" charset="-128"/>
                              </a:defRPr>
                            </a:lvl6pPr>
                            <a:lvl7pPr marL="2743200" algn="l" defTabSz="457200" rtl="0" eaLnBrk="1" latinLnBrk="0" hangingPunct="1">
                              <a:defRPr kern="1200">
                                <a:solidFill>
                                  <a:schemeClr val="tx1"/>
                                </a:solidFill>
                                <a:latin typeface="Arial" charset="0"/>
                                <a:ea typeface="ＭＳ Ｐゴシック" charset="-128"/>
                                <a:cs typeface="ＭＳ Ｐゴシック" charset="-128"/>
                              </a:defRPr>
                            </a:lvl7pPr>
                            <a:lvl8pPr marL="3200400" algn="l" defTabSz="457200" rtl="0" eaLnBrk="1" latinLnBrk="0" hangingPunct="1">
                              <a:defRPr kern="1200">
                                <a:solidFill>
                                  <a:schemeClr val="tx1"/>
                                </a:solidFill>
                                <a:latin typeface="Arial" charset="0"/>
                                <a:ea typeface="ＭＳ Ｐゴシック" charset="-128"/>
                                <a:cs typeface="ＭＳ Ｐゴシック" charset="-128"/>
                              </a:defRPr>
                            </a:lvl8pPr>
                            <a:lvl9pPr marL="3657600" algn="l" defTabSz="457200" rtl="0" eaLnBrk="1" latinLnBrk="0" hangingPunct="1">
                              <a:defRPr kern="1200">
                                <a:solidFill>
                                  <a:schemeClr val="tx1"/>
                                </a:solidFill>
                                <a:latin typeface="Arial" charset="0"/>
                                <a:ea typeface="ＭＳ Ｐゴシック" charset="-128"/>
                                <a:cs typeface="ＭＳ Ｐゴシック" charset="-128"/>
                              </a:defRPr>
                            </a:lvl9pPr>
                          </a:lstStyle>
                          <a:p>
                            <a:pPr algn="ctr"/>
                            <a:r>
                              <a:rPr lang="en-GB" sz="1200" b="1">
                                <a:solidFill>
                                  <a:schemeClr val="bg1"/>
                                </a:solidFill>
                                <a:latin typeface="Calibri" charset="0"/>
                              </a:rPr>
                              <a:t>5</a:t>
                            </a:r>
                            <a:endParaRPr lang="en-US" sz="1200" b="1">
                              <a:solidFill>
                                <a:schemeClr val="bg1"/>
                              </a:solidFill>
                              <a:latin typeface="Calibri" charset="0"/>
                            </a:endParaRPr>
                          </a:p>
                        </a:txBody>
                        <a:useSpRect/>
                      </a:txSp>
                    </a:sp>
                    <a:sp>
                      <a:nvSpPr>
                        <a:cNvPr id="49160" name="Oval 8"/>
                        <a:cNvSpPr>
                          <a:spLocks noChangeArrowheads="1"/>
                        </a:cNvSpPr>
                      </a:nvSpPr>
                      <a:spPr bwMode="auto">
                        <a:xfrm>
                          <a:off x="4210050" y="3284538"/>
                          <a:ext cx="504825" cy="504825"/>
                        </a:xfrm>
                        <a:prstGeom prst="ellipse">
                          <a:avLst/>
                        </a:prstGeom>
                        <a:solidFill>
                          <a:srgbClr val="009900"/>
                        </a:solidFill>
                        <a:ln w="9525">
                          <a:solidFill>
                            <a:schemeClr val="tx1"/>
                          </a:solidFill>
                          <a:round/>
                          <a:headEnd/>
                          <a:tailEnd/>
                        </a:ln>
                      </a:spPr>
                      <a:txSp>
                        <a:txBody>
                          <a:bodyPr wrap="none" anchor="ctr">
                            <a:prstTxWarp prst="textNoShape">
                              <a:avLst/>
                            </a:prstTxWarp>
                          </a:bodyPr>
                          <a:lstStyle>
                            <a:defPPr>
                              <a:defRPr lang="en-US"/>
                            </a:defPPr>
                            <a:lvl1pPr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1pPr>
                            <a:lvl2pPr marL="4572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2pPr>
                            <a:lvl3pPr marL="9144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3pPr>
                            <a:lvl4pPr marL="13716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4pPr>
                            <a:lvl5pPr marL="18288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5pPr>
                            <a:lvl6pPr marL="2286000" algn="l" defTabSz="457200" rtl="0" eaLnBrk="1" latinLnBrk="0" hangingPunct="1">
                              <a:defRPr kern="1200">
                                <a:solidFill>
                                  <a:schemeClr val="tx1"/>
                                </a:solidFill>
                                <a:latin typeface="Arial" charset="0"/>
                                <a:ea typeface="ＭＳ Ｐゴシック" charset="-128"/>
                                <a:cs typeface="ＭＳ Ｐゴシック" charset="-128"/>
                              </a:defRPr>
                            </a:lvl6pPr>
                            <a:lvl7pPr marL="2743200" algn="l" defTabSz="457200" rtl="0" eaLnBrk="1" latinLnBrk="0" hangingPunct="1">
                              <a:defRPr kern="1200">
                                <a:solidFill>
                                  <a:schemeClr val="tx1"/>
                                </a:solidFill>
                                <a:latin typeface="Arial" charset="0"/>
                                <a:ea typeface="ＭＳ Ｐゴシック" charset="-128"/>
                                <a:cs typeface="ＭＳ Ｐゴシック" charset="-128"/>
                              </a:defRPr>
                            </a:lvl7pPr>
                            <a:lvl8pPr marL="3200400" algn="l" defTabSz="457200" rtl="0" eaLnBrk="1" latinLnBrk="0" hangingPunct="1">
                              <a:defRPr kern="1200">
                                <a:solidFill>
                                  <a:schemeClr val="tx1"/>
                                </a:solidFill>
                                <a:latin typeface="Arial" charset="0"/>
                                <a:ea typeface="ＭＳ Ｐゴシック" charset="-128"/>
                                <a:cs typeface="ＭＳ Ｐゴシック" charset="-128"/>
                              </a:defRPr>
                            </a:lvl8pPr>
                            <a:lvl9pPr marL="3657600" algn="l" defTabSz="457200" rtl="0" eaLnBrk="1" latinLnBrk="0" hangingPunct="1">
                              <a:defRPr kern="1200">
                                <a:solidFill>
                                  <a:schemeClr val="tx1"/>
                                </a:solidFill>
                                <a:latin typeface="Arial" charset="0"/>
                                <a:ea typeface="ＭＳ Ｐゴシック" charset="-128"/>
                                <a:cs typeface="ＭＳ Ｐゴシック" charset="-128"/>
                              </a:defRPr>
                            </a:lvl9pPr>
                          </a:lstStyle>
                          <a:p>
                            <a:pPr algn="ctr"/>
                            <a:r>
                              <a:rPr lang="en-GB" sz="1200" b="1">
                                <a:solidFill>
                                  <a:schemeClr val="bg1"/>
                                </a:solidFill>
                                <a:latin typeface="Calibri" charset="0"/>
                              </a:rPr>
                              <a:t>6</a:t>
                            </a:r>
                            <a:endParaRPr lang="en-US" sz="1200" b="1">
                              <a:solidFill>
                                <a:schemeClr val="bg1"/>
                              </a:solidFill>
                              <a:latin typeface="Calibri" charset="0"/>
                            </a:endParaRPr>
                          </a:p>
                        </a:txBody>
                        <a:useSpRect/>
                      </a:txSp>
                    </a:sp>
                    <a:sp>
                      <a:nvSpPr>
                        <a:cNvPr id="49161" name="Oval 9"/>
                        <a:cNvSpPr>
                          <a:spLocks noChangeArrowheads="1"/>
                        </a:cNvSpPr>
                      </a:nvSpPr>
                      <a:spPr bwMode="auto">
                        <a:xfrm>
                          <a:off x="4210050" y="2924175"/>
                          <a:ext cx="504825" cy="504825"/>
                        </a:xfrm>
                        <a:prstGeom prst="ellipse">
                          <a:avLst/>
                        </a:prstGeom>
                        <a:solidFill>
                          <a:srgbClr val="FF6600"/>
                        </a:solidFill>
                        <a:ln w="9525">
                          <a:solidFill>
                            <a:schemeClr val="tx1"/>
                          </a:solidFill>
                          <a:round/>
                          <a:headEnd/>
                          <a:tailEnd/>
                        </a:ln>
                      </a:spPr>
                      <a:txSp>
                        <a:txBody>
                          <a:bodyPr wrap="none" anchor="ctr">
                            <a:prstTxWarp prst="textNoShape">
                              <a:avLst/>
                            </a:prstTxWarp>
                          </a:bodyPr>
                          <a:lstStyle>
                            <a:defPPr>
                              <a:defRPr lang="en-US"/>
                            </a:defPPr>
                            <a:lvl1pPr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1pPr>
                            <a:lvl2pPr marL="4572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2pPr>
                            <a:lvl3pPr marL="9144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3pPr>
                            <a:lvl4pPr marL="13716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4pPr>
                            <a:lvl5pPr marL="18288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5pPr>
                            <a:lvl6pPr marL="2286000" algn="l" defTabSz="457200" rtl="0" eaLnBrk="1" latinLnBrk="0" hangingPunct="1">
                              <a:defRPr kern="1200">
                                <a:solidFill>
                                  <a:schemeClr val="tx1"/>
                                </a:solidFill>
                                <a:latin typeface="Arial" charset="0"/>
                                <a:ea typeface="ＭＳ Ｐゴシック" charset="-128"/>
                                <a:cs typeface="ＭＳ Ｐゴシック" charset="-128"/>
                              </a:defRPr>
                            </a:lvl6pPr>
                            <a:lvl7pPr marL="2743200" algn="l" defTabSz="457200" rtl="0" eaLnBrk="1" latinLnBrk="0" hangingPunct="1">
                              <a:defRPr kern="1200">
                                <a:solidFill>
                                  <a:schemeClr val="tx1"/>
                                </a:solidFill>
                                <a:latin typeface="Arial" charset="0"/>
                                <a:ea typeface="ＭＳ Ｐゴシック" charset="-128"/>
                                <a:cs typeface="ＭＳ Ｐゴシック" charset="-128"/>
                              </a:defRPr>
                            </a:lvl7pPr>
                            <a:lvl8pPr marL="3200400" algn="l" defTabSz="457200" rtl="0" eaLnBrk="1" latinLnBrk="0" hangingPunct="1">
                              <a:defRPr kern="1200">
                                <a:solidFill>
                                  <a:schemeClr val="tx1"/>
                                </a:solidFill>
                                <a:latin typeface="Arial" charset="0"/>
                                <a:ea typeface="ＭＳ Ｐゴシック" charset="-128"/>
                                <a:cs typeface="ＭＳ Ｐゴシック" charset="-128"/>
                              </a:defRPr>
                            </a:lvl8pPr>
                            <a:lvl9pPr marL="3657600" algn="l" defTabSz="457200" rtl="0" eaLnBrk="1" latinLnBrk="0" hangingPunct="1">
                              <a:defRPr kern="1200">
                                <a:solidFill>
                                  <a:schemeClr val="tx1"/>
                                </a:solidFill>
                                <a:latin typeface="Arial" charset="0"/>
                                <a:ea typeface="ＭＳ Ｐゴシック" charset="-128"/>
                                <a:cs typeface="ＭＳ Ｐゴシック" charset="-128"/>
                              </a:defRPr>
                            </a:lvl9pPr>
                          </a:lstStyle>
                          <a:p>
                            <a:pPr algn="ctr"/>
                            <a:r>
                              <a:rPr lang="en-GB" sz="1200" b="1">
                                <a:solidFill>
                                  <a:schemeClr val="bg1"/>
                                </a:solidFill>
                                <a:latin typeface="Calibri" charset="0"/>
                              </a:rPr>
                              <a:t>7</a:t>
                            </a:r>
                            <a:endParaRPr lang="en-US" sz="1200" b="1">
                              <a:solidFill>
                                <a:schemeClr val="bg1"/>
                              </a:solidFill>
                              <a:latin typeface="Calibri" charset="0"/>
                            </a:endParaRPr>
                          </a:p>
                        </a:txBody>
                        <a:useSpRect/>
                      </a:txSp>
                    </a:sp>
                    <a:sp>
                      <a:nvSpPr>
                        <a:cNvPr id="49162" name="Oval 10"/>
                        <a:cNvSpPr>
                          <a:spLocks noChangeArrowheads="1"/>
                        </a:cNvSpPr>
                      </a:nvSpPr>
                      <a:spPr bwMode="auto">
                        <a:xfrm>
                          <a:off x="4210050" y="2563813"/>
                          <a:ext cx="504825" cy="504825"/>
                        </a:xfrm>
                        <a:prstGeom prst="ellipse">
                          <a:avLst/>
                        </a:prstGeom>
                        <a:solidFill>
                          <a:srgbClr val="663300"/>
                        </a:solidFill>
                        <a:ln w="9525">
                          <a:solidFill>
                            <a:schemeClr val="tx1"/>
                          </a:solidFill>
                          <a:round/>
                          <a:headEnd/>
                          <a:tailEnd/>
                        </a:ln>
                      </a:spPr>
                      <a:txSp>
                        <a:txBody>
                          <a:bodyPr wrap="none" anchor="ctr">
                            <a:prstTxWarp prst="textNoShape">
                              <a:avLst/>
                            </a:prstTxWarp>
                          </a:bodyPr>
                          <a:lstStyle>
                            <a:defPPr>
                              <a:defRPr lang="en-US"/>
                            </a:defPPr>
                            <a:lvl1pPr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1pPr>
                            <a:lvl2pPr marL="4572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2pPr>
                            <a:lvl3pPr marL="9144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3pPr>
                            <a:lvl4pPr marL="13716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4pPr>
                            <a:lvl5pPr marL="18288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5pPr>
                            <a:lvl6pPr marL="2286000" algn="l" defTabSz="457200" rtl="0" eaLnBrk="1" latinLnBrk="0" hangingPunct="1">
                              <a:defRPr kern="1200">
                                <a:solidFill>
                                  <a:schemeClr val="tx1"/>
                                </a:solidFill>
                                <a:latin typeface="Arial" charset="0"/>
                                <a:ea typeface="ＭＳ Ｐゴシック" charset="-128"/>
                                <a:cs typeface="ＭＳ Ｐゴシック" charset="-128"/>
                              </a:defRPr>
                            </a:lvl6pPr>
                            <a:lvl7pPr marL="2743200" algn="l" defTabSz="457200" rtl="0" eaLnBrk="1" latinLnBrk="0" hangingPunct="1">
                              <a:defRPr kern="1200">
                                <a:solidFill>
                                  <a:schemeClr val="tx1"/>
                                </a:solidFill>
                                <a:latin typeface="Arial" charset="0"/>
                                <a:ea typeface="ＭＳ Ｐゴシック" charset="-128"/>
                                <a:cs typeface="ＭＳ Ｐゴシック" charset="-128"/>
                              </a:defRPr>
                            </a:lvl7pPr>
                            <a:lvl8pPr marL="3200400" algn="l" defTabSz="457200" rtl="0" eaLnBrk="1" latinLnBrk="0" hangingPunct="1">
                              <a:defRPr kern="1200">
                                <a:solidFill>
                                  <a:schemeClr val="tx1"/>
                                </a:solidFill>
                                <a:latin typeface="Arial" charset="0"/>
                                <a:ea typeface="ＭＳ Ｐゴシック" charset="-128"/>
                                <a:cs typeface="ＭＳ Ｐゴシック" charset="-128"/>
                              </a:defRPr>
                            </a:lvl8pPr>
                            <a:lvl9pPr marL="3657600" algn="l" defTabSz="457200" rtl="0" eaLnBrk="1" latinLnBrk="0" hangingPunct="1">
                              <a:defRPr kern="1200">
                                <a:solidFill>
                                  <a:schemeClr val="tx1"/>
                                </a:solidFill>
                                <a:latin typeface="Arial" charset="0"/>
                                <a:ea typeface="ＭＳ Ｐゴシック" charset="-128"/>
                                <a:cs typeface="ＭＳ Ｐゴシック" charset="-128"/>
                              </a:defRPr>
                            </a:lvl9pPr>
                          </a:lstStyle>
                          <a:p>
                            <a:pPr algn="ctr"/>
                            <a:r>
                              <a:rPr lang="en-GB" sz="1200" b="1">
                                <a:solidFill>
                                  <a:schemeClr val="bg1"/>
                                </a:solidFill>
                                <a:latin typeface="Calibri" charset="0"/>
                              </a:rPr>
                              <a:t>8</a:t>
                            </a:r>
                            <a:endParaRPr lang="en-US" sz="1200" b="1">
                              <a:solidFill>
                                <a:schemeClr val="bg1"/>
                              </a:solidFill>
                              <a:latin typeface="Calibri" charset="0"/>
                            </a:endParaRPr>
                          </a:p>
                        </a:txBody>
                        <a:useSpRect/>
                      </a:txSp>
                    </a:sp>
                    <a:sp>
                      <a:nvSpPr>
                        <a:cNvPr id="49163" name="Oval 11"/>
                        <a:cNvSpPr>
                          <a:spLocks noChangeArrowheads="1"/>
                        </a:cNvSpPr>
                      </a:nvSpPr>
                      <a:spPr bwMode="auto">
                        <a:xfrm>
                          <a:off x="4210050" y="2205038"/>
                          <a:ext cx="504825" cy="504825"/>
                        </a:xfrm>
                        <a:prstGeom prst="ellipse">
                          <a:avLst/>
                        </a:prstGeom>
                        <a:solidFill>
                          <a:srgbClr val="0000FF"/>
                        </a:solidFill>
                        <a:ln w="9525">
                          <a:solidFill>
                            <a:schemeClr val="tx1"/>
                          </a:solidFill>
                          <a:round/>
                          <a:headEnd/>
                          <a:tailEnd/>
                        </a:ln>
                      </a:spPr>
                      <a:txSp>
                        <a:txBody>
                          <a:bodyPr wrap="none" anchor="ctr">
                            <a:prstTxWarp prst="textNoShape">
                              <a:avLst/>
                            </a:prstTxWarp>
                          </a:bodyPr>
                          <a:lstStyle>
                            <a:defPPr>
                              <a:defRPr lang="en-US"/>
                            </a:defPPr>
                            <a:lvl1pPr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1pPr>
                            <a:lvl2pPr marL="4572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2pPr>
                            <a:lvl3pPr marL="9144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3pPr>
                            <a:lvl4pPr marL="13716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4pPr>
                            <a:lvl5pPr marL="18288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5pPr>
                            <a:lvl6pPr marL="2286000" algn="l" defTabSz="457200" rtl="0" eaLnBrk="1" latinLnBrk="0" hangingPunct="1">
                              <a:defRPr kern="1200">
                                <a:solidFill>
                                  <a:schemeClr val="tx1"/>
                                </a:solidFill>
                                <a:latin typeface="Arial" charset="0"/>
                                <a:ea typeface="ＭＳ Ｐゴシック" charset="-128"/>
                                <a:cs typeface="ＭＳ Ｐゴシック" charset="-128"/>
                              </a:defRPr>
                            </a:lvl6pPr>
                            <a:lvl7pPr marL="2743200" algn="l" defTabSz="457200" rtl="0" eaLnBrk="1" latinLnBrk="0" hangingPunct="1">
                              <a:defRPr kern="1200">
                                <a:solidFill>
                                  <a:schemeClr val="tx1"/>
                                </a:solidFill>
                                <a:latin typeface="Arial" charset="0"/>
                                <a:ea typeface="ＭＳ Ｐゴシック" charset="-128"/>
                                <a:cs typeface="ＭＳ Ｐゴシック" charset="-128"/>
                              </a:defRPr>
                            </a:lvl7pPr>
                            <a:lvl8pPr marL="3200400" algn="l" defTabSz="457200" rtl="0" eaLnBrk="1" latinLnBrk="0" hangingPunct="1">
                              <a:defRPr kern="1200">
                                <a:solidFill>
                                  <a:schemeClr val="tx1"/>
                                </a:solidFill>
                                <a:latin typeface="Arial" charset="0"/>
                                <a:ea typeface="ＭＳ Ｐゴシック" charset="-128"/>
                                <a:cs typeface="ＭＳ Ｐゴシック" charset="-128"/>
                              </a:defRPr>
                            </a:lvl8pPr>
                            <a:lvl9pPr marL="3657600" algn="l" defTabSz="457200" rtl="0" eaLnBrk="1" latinLnBrk="0" hangingPunct="1">
                              <a:defRPr kern="1200">
                                <a:solidFill>
                                  <a:schemeClr val="tx1"/>
                                </a:solidFill>
                                <a:latin typeface="Arial" charset="0"/>
                                <a:ea typeface="ＭＳ Ｐゴシック" charset="-128"/>
                                <a:cs typeface="ＭＳ Ｐゴシック" charset="-128"/>
                              </a:defRPr>
                            </a:lvl9pPr>
                          </a:lstStyle>
                          <a:p>
                            <a:pPr algn="ctr"/>
                            <a:r>
                              <a:rPr lang="en-GB" sz="1200" b="1">
                                <a:solidFill>
                                  <a:schemeClr val="bg1"/>
                                </a:solidFill>
                                <a:latin typeface="Calibri" charset="0"/>
                              </a:rPr>
                              <a:t>9</a:t>
                            </a:r>
                            <a:endParaRPr lang="en-US" sz="1200" b="1">
                              <a:solidFill>
                                <a:schemeClr val="bg1"/>
                              </a:solidFill>
                              <a:latin typeface="Calibri" charset="0"/>
                            </a:endParaRPr>
                          </a:p>
                        </a:txBody>
                        <a:useSpRect/>
                      </a:txSp>
                    </a:sp>
                    <a:sp>
                      <a:nvSpPr>
                        <a:cNvPr id="49164" name="Text Box 12"/>
                        <a:cNvSpPr txBox="1">
                          <a:spLocks noChangeArrowheads="1"/>
                        </a:cNvSpPr>
                      </a:nvSpPr>
                      <a:spPr bwMode="auto">
                        <a:xfrm>
                          <a:off x="1381125" y="2347913"/>
                          <a:ext cx="1979613" cy="330200"/>
                        </a:xfrm>
                        <a:prstGeom prst="rect">
                          <a:avLst/>
                        </a:prstGeom>
                        <a:noFill/>
                        <a:ln w="9525">
                          <a:noFill/>
                          <a:miter lim="800000"/>
                          <a:headEnd/>
                          <a:tailEnd/>
                        </a:ln>
                      </a:spPr>
                      <a:txSp>
                        <a:txBody>
                          <a:bodyPr>
                            <a:prstTxWarp prst="textNoShape">
                              <a:avLst/>
                            </a:prstTxWarp>
                            <a:spAutoFit/>
                          </a:bodyPr>
                          <a:lstStyle>
                            <a:defPPr>
                              <a:defRPr lang="en-US"/>
                            </a:defPPr>
                            <a:lvl1pPr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1pPr>
                            <a:lvl2pPr marL="4572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2pPr>
                            <a:lvl3pPr marL="9144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3pPr>
                            <a:lvl4pPr marL="13716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4pPr>
                            <a:lvl5pPr marL="18288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5pPr>
                            <a:lvl6pPr marL="2286000" algn="l" defTabSz="457200" rtl="0" eaLnBrk="1" latinLnBrk="0" hangingPunct="1">
                              <a:defRPr kern="1200">
                                <a:solidFill>
                                  <a:schemeClr val="tx1"/>
                                </a:solidFill>
                                <a:latin typeface="Arial" charset="0"/>
                                <a:ea typeface="ＭＳ Ｐゴシック" charset="-128"/>
                                <a:cs typeface="ＭＳ Ｐゴシック" charset="-128"/>
                              </a:defRPr>
                            </a:lvl6pPr>
                            <a:lvl7pPr marL="2743200" algn="l" defTabSz="457200" rtl="0" eaLnBrk="1" latinLnBrk="0" hangingPunct="1">
                              <a:defRPr kern="1200">
                                <a:solidFill>
                                  <a:schemeClr val="tx1"/>
                                </a:solidFill>
                                <a:latin typeface="Arial" charset="0"/>
                                <a:ea typeface="ＭＳ Ｐゴシック" charset="-128"/>
                                <a:cs typeface="ＭＳ Ｐゴシック" charset="-128"/>
                              </a:defRPr>
                            </a:lvl7pPr>
                            <a:lvl8pPr marL="3200400" algn="l" defTabSz="457200" rtl="0" eaLnBrk="1" latinLnBrk="0" hangingPunct="1">
                              <a:defRPr kern="1200">
                                <a:solidFill>
                                  <a:schemeClr val="tx1"/>
                                </a:solidFill>
                                <a:latin typeface="Arial" charset="0"/>
                                <a:ea typeface="ＭＳ Ｐゴシック" charset="-128"/>
                                <a:cs typeface="ＭＳ Ｐゴシック" charset="-128"/>
                              </a:defRPr>
                            </a:lvl8pPr>
                            <a:lvl9pPr marL="3657600" algn="l" defTabSz="457200" rtl="0" eaLnBrk="1" latinLnBrk="0" hangingPunct="1">
                              <a:defRPr kern="1200">
                                <a:solidFill>
                                  <a:schemeClr val="tx1"/>
                                </a:solidFill>
                                <a:latin typeface="Arial" charset="0"/>
                                <a:ea typeface="ＭＳ Ｐゴシック" charset="-128"/>
                                <a:cs typeface="ＭＳ Ｐゴシック" charset="-128"/>
                              </a:defRPr>
                            </a:lvl9pPr>
                          </a:lstStyle>
                          <a:p>
                            <a:pPr algn="ctr">
                              <a:lnSpc>
                                <a:spcPct val="40000"/>
                              </a:lnSpc>
                              <a:spcBef>
                                <a:spcPct val="50000"/>
                              </a:spcBef>
                            </a:pPr>
                            <a:r>
                              <a:rPr lang="en-GB" sz="1200">
                                <a:latin typeface="Calibri" charset="0"/>
                              </a:rPr>
                              <a:t>More senior level </a:t>
                            </a:r>
                          </a:p>
                          <a:p>
                            <a:pPr algn="ctr">
                              <a:lnSpc>
                                <a:spcPct val="40000"/>
                              </a:lnSpc>
                              <a:spcBef>
                                <a:spcPct val="50000"/>
                              </a:spcBef>
                            </a:pPr>
                            <a:r>
                              <a:rPr lang="en-GB" sz="1200">
                                <a:latin typeface="Calibri" charset="0"/>
                              </a:rPr>
                              <a:t>(e.g. clinical director)</a:t>
                            </a:r>
                          </a:p>
                        </a:txBody>
                        <a:useSpRect/>
                      </a:txSp>
                    </a:sp>
                    <a:sp>
                      <a:nvSpPr>
                        <a:cNvPr id="49165" name="Rectangle 13"/>
                        <a:cNvSpPr>
                          <a:spLocks noChangeArrowheads="1"/>
                        </a:cNvSpPr>
                      </a:nvSpPr>
                      <a:spPr bwMode="auto">
                        <a:xfrm>
                          <a:off x="1598613" y="5243513"/>
                          <a:ext cx="1546225" cy="238125"/>
                        </a:xfrm>
                        <a:prstGeom prst="rect">
                          <a:avLst/>
                        </a:prstGeom>
                        <a:noFill/>
                        <a:ln w="9525">
                          <a:noFill/>
                          <a:miter lim="800000"/>
                          <a:headEnd/>
                          <a:tailEnd/>
                        </a:ln>
                      </a:spPr>
                      <a:txSp>
                        <a:txBody>
                          <a:bodyPr>
                            <a:prstTxWarp prst="textNoShape">
                              <a:avLst/>
                            </a:prstTxWarp>
                            <a:spAutoFit/>
                          </a:bodyPr>
                          <a:lstStyle>
                            <a:defPPr>
                              <a:defRPr lang="en-US"/>
                            </a:defPPr>
                            <a:lvl1pPr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1pPr>
                            <a:lvl2pPr marL="4572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2pPr>
                            <a:lvl3pPr marL="9144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3pPr>
                            <a:lvl4pPr marL="13716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4pPr>
                            <a:lvl5pPr marL="18288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5pPr>
                            <a:lvl6pPr marL="2286000" algn="l" defTabSz="457200" rtl="0" eaLnBrk="1" latinLnBrk="0" hangingPunct="1">
                              <a:defRPr kern="1200">
                                <a:solidFill>
                                  <a:schemeClr val="tx1"/>
                                </a:solidFill>
                                <a:latin typeface="Arial" charset="0"/>
                                <a:ea typeface="ＭＳ Ｐゴシック" charset="-128"/>
                                <a:cs typeface="ＭＳ Ｐゴシック" charset="-128"/>
                              </a:defRPr>
                            </a:lvl6pPr>
                            <a:lvl7pPr marL="2743200" algn="l" defTabSz="457200" rtl="0" eaLnBrk="1" latinLnBrk="0" hangingPunct="1">
                              <a:defRPr kern="1200">
                                <a:solidFill>
                                  <a:schemeClr val="tx1"/>
                                </a:solidFill>
                                <a:latin typeface="Arial" charset="0"/>
                                <a:ea typeface="ＭＳ Ｐゴシック" charset="-128"/>
                                <a:cs typeface="ＭＳ Ｐゴシック" charset="-128"/>
                              </a:defRPr>
                            </a:lvl7pPr>
                            <a:lvl8pPr marL="3200400" algn="l" defTabSz="457200" rtl="0" eaLnBrk="1" latinLnBrk="0" hangingPunct="1">
                              <a:defRPr kern="1200">
                                <a:solidFill>
                                  <a:schemeClr val="tx1"/>
                                </a:solidFill>
                                <a:latin typeface="Arial" charset="0"/>
                                <a:ea typeface="ＭＳ Ｐゴシック" charset="-128"/>
                                <a:cs typeface="ＭＳ Ｐゴシック" charset="-128"/>
                              </a:defRPr>
                            </a:lvl8pPr>
                            <a:lvl9pPr marL="3657600" algn="l" defTabSz="457200" rtl="0" eaLnBrk="1" latinLnBrk="0" hangingPunct="1">
                              <a:defRPr kern="1200">
                                <a:solidFill>
                                  <a:schemeClr val="tx1"/>
                                </a:solidFill>
                                <a:latin typeface="Arial" charset="0"/>
                                <a:ea typeface="ＭＳ Ｐゴシック" charset="-128"/>
                                <a:cs typeface="ＭＳ Ｐゴシック" charset="-128"/>
                              </a:defRPr>
                            </a:lvl9pPr>
                          </a:lstStyle>
                          <a:p>
                            <a:pPr algn="ctr">
                              <a:lnSpc>
                                <a:spcPct val="80000"/>
                              </a:lnSpc>
                              <a:spcBef>
                                <a:spcPct val="50000"/>
                              </a:spcBef>
                            </a:pPr>
                            <a:r>
                              <a:rPr lang="en-GB" sz="1200">
                                <a:latin typeface="Calibri" charset="0"/>
                              </a:rPr>
                              <a:t>Initial entry level</a:t>
                            </a:r>
                          </a:p>
                        </a:txBody>
                        <a:useSpRect/>
                      </a:txSp>
                    </a:sp>
                    <a:sp>
                      <a:nvSpPr>
                        <a:cNvPr id="49166" name="Rectangle 14"/>
                        <a:cNvSpPr>
                          <a:spLocks noChangeArrowheads="1"/>
                        </a:cNvSpPr>
                      </a:nvSpPr>
                      <a:spPr bwMode="auto">
                        <a:xfrm>
                          <a:off x="1587500" y="4881563"/>
                          <a:ext cx="1568450" cy="238125"/>
                        </a:xfrm>
                        <a:prstGeom prst="rect">
                          <a:avLst/>
                        </a:prstGeom>
                        <a:noFill/>
                        <a:ln w="9525">
                          <a:noFill/>
                          <a:miter lim="800000"/>
                          <a:headEnd/>
                          <a:tailEnd/>
                        </a:ln>
                      </a:spPr>
                      <a:txSp>
                        <a:txBody>
                          <a:bodyPr wrap="none">
                            <a:prstTxWarp prst="textNoShape">
                              <a:avLst/>
                            </a:prstTxWarp>
                            <a:spAutoFit/>
                          </a:bodyPr>
                          <a:lstStyle>
                            <a:defPPr>
                              <a:defRPr lang="en-US"/>
                            </a:defPPr>
                            <a:lvl1pPr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1pPr>
                            <a:lvl2pPr marL="4572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2pPr>
                            <a:lvl3pPr marL="9144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3pPr>
                            <a:lvl4pPr marL="13716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4pPr>
                            <a:lvl5pPr marL="18288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5pPr>
                            <a:lvl6pPr marL="2286000" algn="l" defTabSz="457200" rtl="0" eaLnBrk="1" latinLnBrk="0" hangingPunct="1">
                              <a:defRPr kern="1200">
                                <a:solidFill>
                                  <a:schemeClr val="tx1"/>
                                </a:solidFill>
                                <a:latin typeface="Arial" charset="0"/>
                                <a:ea typeface="ＭＳ Ｐゴシック" charset="-128"/>
                                <a:cs typeface="ＭＳ Ｐゴシック" charset="-128"/>
                              </a:defRPr>
                            </a:lvl6pPr>
                            <a:lvl7pPr marL="2743200" algn="l" defTabSz="457200" rtl="0" eaLnBrk="1" latinLnBrk="0" hangingPunct="1">
                              <a:defRPr kern="1200">
                                <a:solidFill>
                                  <a:schemeClr val="tx1"/>
                                </a:solidFill>
                                <a:latin typeface="Arial" charset="0"/>
                                <a:ea typeface="ＭＳ Ｐゴシック" charset="-128"/>
                                <a:cs typeface="ＭＳ Ｐゴシック" charset="-128"/>
                              </a:defRPr>
                            </a:lvl7pPr>
                            <a:lvl8pPr marL="3200400" algn="l" defTabSz="457200" rtl="0" eaLnBrk="1" latinLnBrk="0" hangingPunct="1">
                              <a:defRPr kern="1200">
                                <a:solidFill>
                                  <a:schemeClr val="tx1"/>
                                </a:solidFill>
                                <a:latin typeface="Arial" charset="0"/>
                                <a:ea typeface="ＭＳ Ｐゴシック" charset="-128"/>
                                <a:cs typeface="ＭＳ Ｐゴシック" charset="-128"/>
                              </a:defRPr>
                            </a:lvl8pPr>
                            <a:lvl9pPr marL="3657600" algn="l" defTabSz="457200" rtl="0" eaLnBrk="1" latinLnBrk="0" hangingPunct="1">
                              <a:defRPr kern="1200">
                                <a:solidFill>
                                  <a:schemeClr val="tx1"/>
                                </a:solidFill>
                                <a:latin typeface="Arial" charset="0"/>
                                <a:ea typeface="ＭＳ Ｐゴシック" charset="-128"/>
                                <a:cs typeface="ＭＳ Ｐゴシック" charset="-128"/>
                              </a:defRPr>
                            </a:lvl9pPr>
                          </a:lstStyle>
                          <a:p>
                            <a:pPr algn="ctr">
                              <a:lnSpc>
                                <a:spcPct val="80000"/>
                              </a:lnSpc>
                              <a:spcBef>
                                <a:spcPct val="50000"/>
                              </a:spcBef>
                            </a:pPr>
                            <a:r>
                              <a:rPr lang="en-GB" sz="1200">
                                <a:latin typeface="Calibri" charset="0"/>
                              </a:rPr>
                              <a:t>Support worker level</a:t>
                            </a:r>
                          </a:p>
                        </a:txBody>
                        <a:useSpRect/>
                      </a:txSp>
                    </a:sp>
                    <a:sp>
                      <a:nvSpPr>
                        <a:cNvPr id="49167" name="Rectangle 15"/>
                        <a:cNvSpPr>
                          <a:spLocks noChangeArrowheads="1"/>
                        </a:cNvSpPr>
                      </a:nvSpPr>
                      <a:spPr bwMode="auto">
                        <a:xfrm>
                          <a:off x="755650" y="4519613"/>
                          <a:ext cx="3232150" cy="238125"/>
                        </a:xfrm>
                        <a:prstGeom prst="rect">
                          <a:avLst/>
                        </a:prstGeom>
                        <a:noFill/>
                        <a:ln w="9525">
                          <a:noFill/>
                          <a:miter lim="800000"/>
                          <a:headEnd/>
                          <a:tailEnd/>
                        </a:ln>
                      </a:spPr>
                      <a:txSp>
                        <a:txBody>
                          <a:bodyPr wrap="none">
                            <a:prstTxWarp prst="textNoShape">
                              <a:avLst/>
                            </a:prstTxWarp>
                            <a:spAutoFit/>
                          </a:bodyPr>
                          <a:lstStyle>
                            <a:defPPr>
                              <a:defRPr lang="en-US"/>
                            </a:defPPr>
                            <a:lvl1pPr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1pPr>
                            <a:lvl2pPr marL="4572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2pPr>
                            <a:lvl3pPr marL="9144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3pPr>
                            <a:lvl4pPr marL="13716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4pPr>
                            <a:lvl5pPr marL="18288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5pPr>
                            <a:lvl6pPr marL="2286000" algn="l" defTabSz="457200" rtl="0" eaLnBrk="1" latinLnBrk="0" hangingPunct="1">
                              <a:defRPr kern="1200">
                                <a:solidFill>
                                  <a:schemeClr val="tx1"/>
                                </a:solidFill>
                                <a:latin typeface="Arial" charset="0"/>
                                <a:ea typeface="ＭＳ Ｐゴシック" charset="-128"/>
                                <a:cs typeface="ＭＳ Ｐゴシック" charset="-128"/>
                              </a:defRPr>
                            </a:lvl6pPr>
                            <a:lvl7pPr marL="2743200" algn="l" defTabSz="457200" rtl="0" eaLnBrk="1" latinLnBrk="0" hangingPunct="1">
                              <a:defRPr kern="1200">
                                <a:solidFill>
                                  <a:schemeClr val="tx1"/>
                                </a:solidFill>
                                <a:latin typeface="Arial" charset="0"/>
                                <a:ea typeface="ＭＳ Ｐゴシック" charset="-128"/>
                                <a:cs typeface="ＭＳ Ｐゴシック" charset="-128"/>
                              </a:defRPr>
                            </a:lvl7pPr>
                            <a:lvl8pPr marL="3200400" algn="l" defTabSz="457200" rtl="0" eaLnBrk="1" latinLnBrk="0" hangingPunct="1">
                              <a:defRPr kern="1200">
                                <a:solidFill>
                                  <a:schemeClr val="tx1"/>
                                </a:solidFill>
                                <a:latin typeface="Arial" charset="0"/>
                                <a:ea typeface="ＭＳ Ｐゴシック" charset="-128"/>
                                <a:cs typeface="ＭＳ Ｐゴシック" charset="-128"/>
                              </a:defRPr>
                            </a:lvl8pPr>
                            <a:lvl9pPr marL="3657600" algn="l" defTabSz="457200" rtl="0" eaLnBrk="1" latinLnBrk="0" hangingPunct="1">
                              <a:defRPr kern="1200">
                                <a:solidFill>
                                  <a:schemeClr val="tx1"/>
                                </a:solidFill>
                                <a:latin typeface="Arial" charset="0"/>
                                <a:ea typeface="ＭＳ Ｐゴシック" charset="-128"/>
                                <a:cs typeface="ＭＳ Ｐゴシック" charset="-128"/>
                              </a:defRPr>
                            </a:lvl9pPr>
                          </a:lstStyle>
                          <a:p>
                            <a:pPr algn="ctr">
                              <a:lnSpc>
                                <a:spcPct val="80000"/>
                              </a:lnSpc>
                              <a:spcBef>
                                <a:spcPct val="50000"/>
                              </a:spcBef>
                            </a:pPr>
                            <a:r>
                              <a:rPr lang="en-GB" sz="1200">
                                <a:latin typeface="Calibri" charset="0"/>
                              </a:rPr>
                              <a:t>Senior healthcare assistant / Technician level</a:t>
                            </a:r>
                          </a:p>
                        </a:txBody>
                        <a:useSpRect/>
                      </a:txSp>
                    </a:sp>
                    <a:sp>
                      <a:nvSpPr>
                        <a:cNvPr id="49168" name="Rectangle 16"/>
                        <a:cNvSpPr>
                          <a:spLocks noChangeArrowheads="1"/>
                        </a:cNvSpPr>
                      </a:nvSpPr>
                      <a:spPr bwMode="auto">
                        <a:xfrm>
                          <a:off x="1003300" y="4157663"/>
                          <a:ext cx="2736850" cy="238125"/>
                        </a:xfrm>
                        <a:prstGeom prst="rect">
                          <a:avLst/>
                        </a:prstGeom>
                        <a:noFill/>
                        <a:ln w="9525">
                          <a:noFill/>
                          <a:miter lim="800000"/>
                          <a:headEnd/>
                          <a:tailEnd/>
                        </a:ln>
                      </a:spPr>
                      <a:txSp>
                        <a:txBody>
                          <a:bodyPr wrap="none">
                            <a:prstTxWarp prst="textNoShape">
                              <a:avLst/>
                            </a:prstTxWarp>
                            <a:spAutoFit/>
                          </a:bodyPr>
                          <a:lstStyle>
                            <a:defPPr>
                              <a:defRPr lang="en-US"/>
                            </a:defPPr>
                            <a:lvl1pPr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1pPr>
                            <a:lvl2pPr marL="4572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2pPr>
                            <a:lvl3pPr marL="9144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3pPr>
                            <a:lvl4pPr marL="13716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4pPr>
                            <a:lvl5pPr marL="18288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5pPr>
                            <a:lvl6pPr marL="2286000" algn="l" defTabSz="457200" rtl="0" eaLnBrk="1" latinLnBrk="0" hangingPunct="1">
                              <a:defRPr kern="1200">
                                <a:solidFill>
                                  <a:schemeClr val="tx1"/>
                                </a:solidFill>
                                <a:latin typeface="Arial" charset="0"/>
                                <a:ea typeface="ＭＳ Ｐゴシック" charset="-128"/>
                                <a:cs typeface="ＭＳ Ｐゴシック" charset="-128"/>
                              </a:defRPr>
                            </a:lvl6pPr>
                            <a:lvl7pPr marL="2743200" algn="l" defTabSz="457200" rtl="0" eaLnBrk="1" latinLnBrk="0" hangingPunct="1">
                              <a:defRPr kern="1200">
                                <a:solidFill>
                                  <a:schemeClr val="tx1"/>
                                </a:solidFill>
                                <a:latin typeface="Arial" charset="0"/>
                                <a:ea typeface="ＭＳ Ｐゴシック" charset="-128"/>
                                <a:cs typeface="ＭＳ Ｐゴシック" charset="-128"/>
                              </a:defRPr>
                            </a:lvl7pPr>
                            <a:lvl8pPr marL="3200400" algn="l" defTabSz="457200" rtl="0" eaLnBrk="1" latinLnBrk="0" hangingPunct="1">
                              <a:defRPr kern="1200">
                                <a:solidFill>
                                  <a:schemeClr val="tx1"/>
                                </a:solidFill>
                                <a:latin typeface="Arial" charset="0"/>
                                <a:ea typeface="ＭＳ Ｐゴシック" charset="-128"/>
                                <a:cs typeface="ＭＳ Ｐゴシック" charset="-128"/>
                              </a:defRPr>
                            </a:lvl8pPr>
                            <a:lvl9pPr marL="3657600" algn="l" defTabSz="457200" rtl="0" eaLnBrk="1" latinLnBrk="0" hangingPunct="1">
                              <a:defRPr kern="1200">
                                <a:solidFill>
                                  <a:schemeClr val="tx1"/>
                                </a:solidFill>
                                <a:latin typeface="Arial" charset="0"/>
                                <a:ea typeface="ＭＳ Ｐゴシック" charset="-128"/>
                                <a:cs typeface="ＭＳ Ｐゴシック" charset="-128"/>
                              </a:defRPr>
                            </a:lvl9pPr>
                          </a:lstStyle>
                          <a:p>
                            <a:pPr algn="ctr">
                              <a:lnSpc>
                                <a:spcPct val="80000"/>
                              </a:lnSpc>
                              <a:spcBef>
                                <a:spcPct val="50000"/>
                              </a:spcBef>
                            </a:pPr>
                            <a:r>
                              <a:rPr lang="en-GB" sz="1200">
                                <a:latin typeface="Calibri" charset="0"/>
                              </a:rPr>
                              <a:t>Associate / Assistant practitioner level</a:t>
                            </a:r>
                          </a:p>
                        </a:txBody>
                        <a:useSpRect/>
                      </a:txSp>
                    </a:sp>
                    <a:sp>
                      <a:nvSpPr>
                        <a:cNvPr id="49169" name="Rectangle 17"/>
                        <a:cNvSpPr>
                          <a:spLocks noChangeArrowheads="1"/>
                        </a:cNvSpPr>
                      </a:nvSpPr>
                      <a:spPr bwMode="auto">
                        <a:xfrm>
                          <a:off x="1401763" y="3795713"/>
                          <a:ext cx="1938337" cy="246062"/>
                        </a:xfrm>
                        <a:prstGeom prst="rect">
                          <a:avLst/>
                        </a:prstGeom>
                        <a:noFill/>
                        <a:ln w="9525">
                          <a:noFill/>
                          <a:miter lim="800000"/>
                          <a:headEnd/>
                          <a:tailEnd/>
                        </a:ln>
                      </a:spPr>
                      <a:txSp>
                        <a:txBody>
                          <a:bodyPr wrap="none">
                            <a:prstTxWarp prst="textNoShape">
                              <a:avLst/>
                            </a:prstTxWarp>
                            <a:spAutoFit/>
                          </a:bodyPr>
                          <a:lstStyle>
                            <a:defPPr>
                              <a:defRPr lang="en-US"/>
                            </a:defPPr>
                            <a:lvl1pPr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1pPr>
                            <a:lvl2pPr marL="4572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2pPr>
                            <a:lvl3pPr marL="9144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3pPr>
                            <a:lvl4pPr marL="13716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4pPr>
                            <a:lvl5pPr marL="18288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5pPr>
                            <a:lvl6pPr marL="2286000" algn="l" defTabSz="457200" rtl="0" eaLnBrk="1" latinLnBrk="0" hangingPunct="1">
                              <a:defRPr kern="1200">
                                <a:solidFill>
                                  <a:schemeClr val="tx1"/>
                                </a:solidFill>
                                <a:latin typeface="Arial" charset="0"/>
                                <a:ea typeface="ＭＳ Ｐゴシック" charset="-128"/>
                                <a:cs typeface="ＭＳ Ｐゴシック" charset="-128"/>
                              </a:defRPr>
                            </a:lvl6pPr>
                            <a:lvl7pPr marL="2743200" algn="l" defTabSz="457200" rtl="0" eaLnBrk="1" latinLnBrk="0" hangingPunct="1">
                              <a:defRPr kern="1200">
                                <a:solidFill>
                                  <a:schemeClr val="tx1"/>
                                </a:solidFill>
                                <a:latin typeface="Arial" charset="0"/>
                                <a:ea typeface="ＭＳ Ｐゴシック" charset="-128"/>
                                <a:cs typeface="ＭＳ Ｐゴシック" charset="-128"/>
                              </a:defRPr>
                            </a:lvl7pPr>
                            <a:lvl8pPr marL="3200400" algn="l" defTabSz="457200" rtl="0" eaLnBrk="1" latinLnBrk="0" hangingPunct="1">
                              <a:defRPr kern="1200">
                                <a:solidFill>
                                  <a:schemeClr val="tx1"/>
                                </a:solidFill>
                                <a:latin typeface="Arial" charset="0"/>
                                <a:ea typeface="ＭＳ Ｐゴシック" charset="-128"/>
                                <a:cs typeface="ＭＳ Ｐゴシック" charset="-128"/>
                              </a:defRPr>
                            </a:lvl8pPr>
                            <a:lvl9pPr marL="3657600" algn="l" defTabSz="457200" rtl="0" eaLnBrk="1" latinLnBrk="0" hangingPunct="1">
                              <a:defRPr kern="1200">
                                <a:solidFill>
                                  <a:schemeClr val="tx1"/>
                                </a:solidFill>
                                <a:latin typeface="Arial" charset="0"/>
                                <a:ea typeface="ＭＳ Ｐゴシック" charset="-128"/>
                                <a:cs typeface="ＭＳ Ｐゴシック" charset="-128"/>
                              </a:defRPr>
                            </a:lvl9pPr>
                          </a:lstStyle>
                          <a:p>
                            <a:pPr algn="ctr">
                              <a:lnSpc>
                                <a:spcPct val="80000"/>
                              </a:lnSpc>
                              <a:spcBef>
                                <a:spcPct val="50000"/>
                              </a:spcBef>
                            </a:pPr>
                            <a:r>
                              <a:rPr lang="en-GB" sz="1200">
                                <a:latin typeface="Calibri" charset="0"/>
                              </a:rPr>
                              <a:t>Registered Practitioner level</a:t>
                            </a:r>
                          </a:p>
                        </a:txBody>
                        <a:useSpRect/>
                      </a:txSp>
                    </a:sp>
                    <a:sp>
                      <a:nvSpPr>
                        <a:cNvPr id="49170" name="Rectangle 18"/>
                        <a:cNvSpPr>
                          <a:spLocks noChangeArrowheads="1"/>
                        </a:cNvSpPr>
                      </a:nvSpPr>
                      <a:spPr bwMode="auto">
                        <a:xfrm>
                          <a:off x="1096963" y="3433763"/>
                          <a:ext cx="2547937" cy="238125"/>
                        </a:xfrm>
                        <a:prstGeom prst="rect">
                          <a:avLst/>
                        </a:prstGeom>
                        <a:noFill/>
                        <a:ln w="9525">
                          <a:noFill/>
                          <a:miter lim="800000"/>
                          <a:headEnd/>
                          <a:tailEnd/>
                        </a:ln>
                      </a:spPr>
                      <a:txSp>
                        <a:txBody>
                          <a:bodyPr wrap="none">
                            <a:prstTxWarp prst="textNoShape">
                              <a:avLst/>
                            </a:prstTxWarp>
                            <a:spAutoFit/>
                          </a:bodyPr>
                          <a:lstStyle>
                            <a:defPPr>
                              <a:defRPr lang="en-US"/>
                            </a:defPPr>
                            <a:lvl1pPr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1pPr>
                            <a:lvl2pPr marL="4572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2pPr>
                            <a:lvl3pPr marL="9144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3pPr>
                            <a:lvl4pPr marL="13716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4pPr>
                            <a:lvl5pPr marL="18288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5pPr>
                            <a:lvl6pPr marL="2286000" algn="l" defTabSz="457200" rtl="0" eaLnBrk="1" latinLnBrk="0" hangingPunct="1">
                              <a:defRPr kern="1200">
                                <a:solidFill>
                                  <a:schemeClr val="tx1"/>
                                </a:solidFill>
                                <a:latin typeface="Arial" charset="0"/>
                                <a:ea typeface="ＭＳ Ｐゴシック" charset="-128"/>
                                <a:cs typeface="ＭＳ Ｐゴシック" charset="-128"/>
                              </a:defRPr>
                            </a:lvl6pPr>
                            <a:lvl7pPr marL="2743200" algn="l" defTabSz="457200" rtl="0" eaLnBrk="1" latinLnBrk="0" hangingPunct="1">
                              <a:defRPr kern="1200">
                                <a:solidFill>
                                  <a:schemeClr val="tx1"/>
                                </a:solidFill>
                                <a:latin typeface="Arial" charset="0"/>
                                <a:ea typeface="ＭＳ Ｐゴシック" charset="-128"/>
                                <a:cs typeface="ＭＳ Ｐゴシック" charset="-128"/>
                              </a:defRPr>
                            </a:lvl7pPr>
                            <a:lvl8pPr marL="3200400" algn="l" defTabSz="457200" rtl="0" eaLnBrk="1" latinLnBrk="0" hangingPunct="1">
                              <a:defRPr kern="1200">
                                <a:solidFill>
                                  <a:schemeClr val="tx1"/>
                                </a:solidFill>
                                <a:latin typeface="Arial" charset="0"/>
                                <a:ea typeface="ＭＳ Ｐゴシック" charset="-128"/>
                                <a:cs typeface="ＭＳ Ｐゴシック" charset="-128"/>
                              </a:defRPr>
                            </a:lvl8pPr>
                            <a:lvl9pPr marL="3657600" algn="l" defTabSz="457200" rtl="0" eaLnBrk="1" latinLnBrk="0" hangingPunct="1">
                              <a:defRPr kern="1200">
                                <a:solidFill>
                                  <a:schemeClr val="tx1"/>
                                </a:solidFill>
                                <a:latin typeface="Arial" charset="0"/>
                                <a:ea typeface="ＭＳ Ｐゴシック" charset="-128"/>
                                <a:cs typeface="ＭＳ Ｐゴシック" charset="-128"/>
                              </a:defRPr>
                            </a:lvl9pPr>
                          </a:lstStyle>
                          <a:p>
                            <a:pPr algn="ctr">
                              <a:lnSpc>
                                <a:spcPct val="80000"/>
                              </a:lnSpc>
                              <a:spcBef>
                                <a:spcPct val="50000"/>
                              </a:spcBef>
                            </a:pPr>
                            <a:r>
                              <a:rPr lang="en-GB" sz="1200">
                                <a:latin typeface="Calibri" charset="0"/>
                              </a:rPr>
                              <a:t>Senior / Specialist practitioner level</a:t>
                            </a:r>
                          </a:p>
                        </a:txBody>
                        <a:useSpRect/>
                      </a:txSp>
                    </a:sp>
                    <a:sp>
                      <a:nvSpPr>
                        <a:cNvPr id="49171" name="Rectangle 19"/>
                        <a:cNvSpPr>
                          <a:spLocks noChangeArrowheads="1"/>
                        </a:cNvSpPr>
                      </a:nvSpPr>
                      <a:spPr bwMode="auto">
                        <a:xfrm>
                          <a:off x="1368425" y="3071813"/>
                          <a:ext cx="2006600" cy="238125"/>
                        </a:xfrm>
                        <a:prstGeom prst="rect">
                          <a:avLst/>
                        </a:prstGeom>
                        <a:noFill/>
                        <a:ln w="9525">
                          <a:noFill/>
                          <a:miter lim="800000"/>
                          <a:headEnd/>
                          <a:tailEnd/>
                        </a:ln>
                      </a:spPr>
                      <a:txSp>
                        <a:txBody>
                          <a:bodyPr wrap="none">
                            <a:prstTxWarp prst="textNoShape">
                              <a:avLst/>
                            </a:prstTxWarp>
                            <a:spAutoFit/>
                          </a:bodyPr>
                          <a:lstStyle>
                            <a:defPPr>
                              <a:defRPr lang="en-US"/>
                            </a:defPPr>
                            <a:lvl1pPr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1pPr>
                            <a:lvl2pPr marL="4572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2pPr>
                            <a:lvl3pPr marL="9144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3pPr>
                            <a:lvl4pPr marL="13716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4pPr>
                            <a:lvl5pPr marL="18288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5pPr>
                            <a:lvl6pPr marL="2286000" algn="l" defTabSz="457200" rtl="0" eaLnBrk="1" latinLnBrk="0" hangingPunct="1">
                              <a:defRPr kern="1200">
                                <a:solidFill>
                                  <a:schemeClr val="tx1"/>
                                </a:solidFill>
                                <a:latin typeface="Arial" charset="0"/>
                                <a:ea typeface="ＭＳ Ｐゴシック" charset="-128"/>
                                <a:cs typeface="ＭＳ Ｐゴシック" charset="-128"/>
                              </a:defRPr>
                            </a:lvl6pPr>
                            <a:lvl7pPr marL="2743200" algn="l" defTabSz="457200" rtl="0" eaLnBrk="1" latinLnBrk="0" hangingPunct="1">
                              <a:defRPr kern="1200">
                                <a:solidFill>
                                  <a:schemeClr val="tx1"/>
                                </a:solidFill>
                                <a:latin typeface="Arial" charset="0"/>
                                <a:ea typeface="ＭＳ Ｐゴシック" charset="-128"/>
                                <a:cs typeface="ＭＳ Ｐゴシック" charset="-128"/>
                              </a:defRPr>
                            </a:lvl7pPr>
                            <a:lvl8pPr marL="3200400" algn="l" defTabSz="457200" rtl="0" eaLnBrk="1" latinLnBrk="0" hangingPunct="1">
                              <a:defRPr kern="1200">
                                <a:solidFill>
                                  <a:schemeClr val="tx1"/>
                                </a:solidFill>
                                <a:latin typeface="Arial" charset="0"/>
                                <a:ea typeface="ＭＳ Ｐゴシック" charset="-128"/>
                                <a:cs typeface="ＭＳ Ｐゴシック" charset="-128"/>
                              </a:defRPr>
                            </a:lvl8pPr>
                            <a:lvl9pPr marL="3657600" algn="l" defTabSz="457200" rtl="0" eaLnBrk="1" latinLnBrk="0" hangingPunct="1">
                              <a:defRPr kern="1200">
                                <a:solidFill>
                                  <a:schemeClr val="tx1"/>
                                </a:solidFill>
                                <a:latin typeface="Arial" charset="0"/>
                                <a:ea typeface="ＭＳ Ｐゴシック" charset="-128"/>
                                <a:cs typeface="ＭＳ Ｐゴシック" charset="-128"/>
                              </a:defRPr>
                            </a:lvl9pPr>
                          </a:lstStyle>
                          <a:p>
                            <a:pPr algn="ctr">
                              <a:lnSpc>
                                <a:spcPct val="80000"/>
                              </a:lnSpc>
                              <a:spcBef>
                                <a:spcPct val="50000"/>
                              </a:spcBef>
                            </a:pPr>
                            <a:r>
                              <a:rPr lang="en-GB" sz="1200">
                                <a:latin typeface="Calibri" charset="0"/>
                              </a:rPr>
                              <a:t>Advanced practitioner level</a:t>
                            </a:r>
                          </a:p>
                        </a:txBody>
                        <a:useSpRect/>
                      </a:txSp>
                    </a:sp>
                    <a:sp>
                      <a:nvSpPr>
                        <a:cNvPr id="49172" name="Rectangle 20"/>
                        <a:cNvSpPr>
                          <a:spLocks noChangeArrowheads="1"/>
                        </a:cNvSpPr>
                      </a:nvSpPr>
                      <a:spPr bwMode="auto">
                        <a:xfrm>
                          <a:off x="1343025" y="2709863"/>
                          <a:ext cx="2057400" cy="238125"/>
                        </a:xfrm>
                        <a:prstGeom prst="rect">
                          <a:avLst/>
                        </a:prstGeom>
                        <a:noFill/>
                        <a:ln w="9525">
                          <a:noFill/>
                          <a:miter lim="800000"/>
                          <a:headEnd/>
                          <a:tailEnd/>
                        </a:ln>
                      </a:spPr>
                      <a:txSp>
                        <a:txBody>
                          <a:bodyPr wrap="none">
                            <a:prstTxWarp prst="textNoShape">
                              <a:avLst/>
                            </a:prstTxWarp>
                            <a:spAutoFit/>
                          </a:bodyPr>
                          <a:lstStyle>
                            <a:defPPr>
                              <a:defRPr lang="en-US"/>
                            </a:defPPr>
                            <a:lvl1pPr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1pPr>
                            <a:lvl2pPr marL="4572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2pPr>
                            <a:lvl3pPr marL="9144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3pPr>
                            <a:lvl4pPr marL="13716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4pPr>
                            <a:lvl5pPr marL="1828800" algn="l" defTabSz="457200" rtl="0" fontAlgn="base">
                              <a:spcBef>
                                <a:spcPct val="0"/>
                              </a:spcBef>
                              <a:spcAft>
                                <a:spcPct val="0"/>
                              </a:spcAft>
                              <a:defRPr kern="1200">
                                <a:solidFill>
                                  <a:schemeClr val="tx1"/>
                                </a:solidFill>
                                <a:latin typeface="Arial" charset="0"/>
                                <a:ea typeface="ＭＳ Ｐゴシック" charset="-128"/>
                                <a:cs typeface="ＭＳ Ｐゴシック" charset="-128"/>
                              </a:defRPr>
                            </a:lvl5pPr>
                            <a:lvl6pPr marL="2286000" algn="l" defTabSz="457200" rtl="0" eaLnBrk="1" latinLnBrk="0" hangingPunct="1">
                              <a:defRPr kern="1200">
                                <a:solidFill>
                                  <a:schemeClr val="tx1"/>
                                </a:solidFill>
                                <a:latin typeface="Arial" charset="0"/>
                                <a:ea typeface="ＭＳ Ｐゴシック" charset="-128"/>
                                <a:cs typeface="ＭＳ Ｐゴシック" charset="-128"/>
                              </a:defRPr>
                            </a:lvl6pPr>
                            <a:lvl7pPr marL="2743200" algn="l" defTabSz="457200" rtl="0" eaLnBrk="1" latinLnBrk="0" hangingPunct="1">
                              <a:defRPr kern="1200">
                                <a:solidFill>
                                  <a:schemeClr val="tx1"/>
                                </a:solidFill>
                                <a:latin typeface="Arial" charset="0"/>
                                <a:ea typeface="ＭＳ Ｐゴシック" charset="-128"/>
                                <a:cs typeface="ＭＳ Ｐゴシック" charset="-128"/>
                              </a:defRPr>
                            </a:lvl7pPr>
                            <a:lvl8pPr marL="3200400" algn="l" defTabSz="457200" rtl="0" eaLnBrk="1" latinLnBrk="0" hangingPunct="1">
                              <a:defRPr kern="1200">
                                <a:solidFill>
                                  <a:schemeClr val="tx1"/>
                                </a:solidFill>
                                <a:latin typeface="Arial" charset="0"/>
                                <a:ea typeface="ＭＳ Ｐゴシック" charset="-128"/>
                                <a:cs typeface="ＭＳ Ｐゴシック" charset="-128"/>
                              </a:defRPr>
                            </a:lvl8pPr>
                            <a:lvl9pPr marL="3657600" algn="l" defTabSz="457200" rtl="0" eaLnBrk="1" latinLnBrk="0" hangingPunct="1">
                              <a:defRPr kern="1200">
                                <a:solidFill>
                                  <a:schemeClr val="tx1"/>
                                </a:solidFill>
                                <a:latin typeface="Arial" charset="0"/>
                                <a:ea typeface="ＭＳ Ｐゴシック" charset="-128"/>
                                <a:cs typeface="ＭＳ Ｐゴシック" charset="-128"/>
                              </a:defRPr>
                            </a:lvl9pPr>
                          </a:lstStyle>
                          <a:p>
                            <a:pPr algn="ctr">
                              <a:lnSpc>
                                <a:spcPct val="80000"/>
                              </a:lnSpc>
                              <a:spcBef>
                                <a:spcPct val="50000"/>
                              </a:spcBef>
                            </a:pPr>
                            <a:r>
                              <a:rPr lang="en-GB" sz="1200">
                                <a:latin typeface="Calibri" charset="0"/>
                              </a:rPr>
                              <a:t>Consultant practitioner level</a:t>
                            </a:r>
                          </a:p>
                        </a:txBody>
                        <a:useSpRect/>
                      </a:txSp>
                    </a:sp>
                  </a:grpSp>
                </lc:lockedCanvas>
              </a:graphicData>
            </a:graphic>
          </wp:inline>
        </w:drawing>
      </w:r>
    </w:p>
    <w:p w:rsidR="00541AF3" w:rsidRDefault="00541AF3" w:rsidP="007E21C5">
      <w:pPr>
        <w:pStyle w:val="Default"/>
        <w:jc w:val="center"/>
        <w:rPr>
          <w:i/>
          <w:sz w:val="20"/>
          <w:szCs w:val="20"/>
        </w:rPr>
      </w:pPr>
    </w:p>
    <w:p w:rsidR="00541AF3" w:rsidRPr="00B939BB" w:rsidRDefault="00541AF3" w:rsidP="007E21C5">
      <w:pPr>
        <w:pStyle w:val="Default"/>
        <w:jc w:val="center"/>
        <w:rPr>
          <w:i/>
          <w:sz w:val="20"/>
          <w:szCs w:val="20"/>
        </w:rPr>
      </w:pPr>
      <w:r>
        <w:rPr>
          <w:i/>
          <w:sz w:val="20"/>
          <w:szCs w:val="20"/>
        </w:rPr>
        <w:t xml:space="preserve">Figure </w:t>
      </w:r>
      <w:r w:rsidRPr="00B939BB">
        <w:rPr>
          <w:i/>
          <w:sz w:val="20"/>
          <w:szCs w:val="20"/>
        </w:rPr>
        <w:t>2. Skills for Health Career Framework</w:t>
      </w:r>
    </w:p>
    <w:p w:rsidR="00541AF3" w:rsidRDefault="00541AF3"/>
    <w:p w:rsidR="00541AF3" w:rsidRPr="00B65B18" w:rsidRDefault="00541AF3">
      <w:pPr>
        <w:rPr>
          <w:b/>
        </w:rPr>
      </w:pPr>
      <w:r>
        <w:rPr>
          <w:b/>
        </w:rPr>
        <w:br w:type="page"/>
      </w:r>
      <w:r w:rsidRPr="00B65B18">
        <w:rPr>
          <w:b/>
        </w:rPr>
        <w:t>2. Historical timeline</w:t>
      </w:r>
    </w:p>
    <w:p w:rsidR="00541AF3" w:rsidRDefault="00541AF3" w:rsidP="00244C61">
      <w:pPr>
        <w:spacing w:after="0"/>
      </w:pPr>
      <w:r>
        <w:t xml:space="preserve">Table 1 outlines the evolution of the PHEM sub-specialty and its progression through the stakeholder engagement and General Medical Council (GMC) approval processes. </w:t>
      </w:r>
    </w:p>
    <w:p w:rsidR="00541AF3" w:rsidRPr="00F565CC" w:rsidRDefault="00541AF3" w:rsidP="00244C61">
      <w:pPr>
        <w:spacing w:after="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418"/>
        <w:gridCol w:w="6990"/>
      </w:tblGrid>
      <w:tr w:rsidR="00541AF3" w:rsidRPr="0073552D" w:rsidTr="0073552D">
        <w:tc>
          <w:tcPr>
            <w:tcW w:w="1418" w:type="dxa"/>
          </w:tcPr>
          <w:p w:rsidR="00541AF3" w:rsidRPr="0073552D" w:rsidRDefault="00541AF3" w:rsidP="0073552D">
            <w:pPr>
              <w:spacing w:after="0"/>
              <w:rPr>
                <w:rFonts w:ascii="Arial" w:hAnsi="Arial"/>
                <w:b/>
                <w:lang w:val="en-GB"/>
              </w:rPr>
            </w:pPr>
            <w:r w:rsidRPr="0073552D">
              <w:rPr>
                <w:rFonts w:ascii="Arial" w:hAnsi="Arial"/>
                <w:b/>
                <w:sz w:val="22"/>
                <w:lang w:val="en-GB"/>
              </w:rPr>
              <w:t>Date</w:t>
            </w:r>
          </w:p>
        </w:tc>
        <w:tc>
          <w:tcPr>
            <w:tcW w:w="6990" w:type="dxa"/>
          </w:tcPr>
          <w:p w:rsidR="00541AF3" w:rsidRPr="0073552D" w:rsidRDefault="00541AF3" w:rsidP="0073552D">
            <w:pPr>
              <w:spacing w:after="0"/>
              <w:rPr>
                <w:rFonts w:ascii="Arial" w:hAnsi="Arial"/>
                <w:b/>
                <w:lang w:val="en-GB"/>
              </w:rPr>
            </w:pPr>
            <w:r w:rsidRPr="0073552D">
              <w:rPr>
                <w:rFonts w:ascii="Arial" w:hAnsi="Arial"/>
                <w:b/>
                <w:sz w:val="22"/>
                <w:lang w:val="en-GB"/>
              </w:rPr>
              <w:t>Event</w:t>
            </w:r>
          </w:p>
        </w:tc>
      </w:tr>
      <w:tr w:rsidR="00541AF3" w:rsidRPr="0073552D" w:rsidTr="0073552D">
        <w:tc>
          <w:tcPr>
            <w:tcW w:w="1418" w:type="dxa"/>
          </w:tcPr>
          <w:p w:rsidR="00541AF3" w:rsidRPr="0073552D" w:rsidRDefault="00541AF3" w:rsidP="0073552D">
            <w:pPr>
              <w:spacing w:after="0"/>
              <w:rPr>
                <w:rFonts w:ascii="Arial" w:hAnsi="Arial"/>
                <w:lang w:val="en-GB"/>
              </w:rPr>
            </w:pPr>
            <w:r w:rsidRPr="0073552D">
              <w:rPr>
                <w:rFonts w:ascii="Arial" w:hAnsi="Arial"/>
                <w:sz w:val="22"/>
                <w:lang w:val="en-GB"/>
              </w:rPr>
              <w:t>Jul 2007</w:t>
            </w:r>
          </w:p>
        </w:tc>
        <w:tc>
          <w:tcPr>
            <w:tcW w:w="6990" w:type="dxa"/>
          </w:tcPr>
          <w:p w:rsidR="00541AF3" w:rsidRPr="0073552D" w:rsidRDefault="00541AF3" w:rsidP="0073552D">
            <w:pPr>
              <w:spacing w:after="0"/>
              <w:rPr>
                <w:rFonts w:ascii="Arial" w:hAnsi="Arial"/>
                <w:lang w:val="en-GB"/>
              </w:rPr>
            </w:pPr>
            <w:r w:rsidRPr="0073552D">
              <w:rPr>
                <w:rFonts w:ascii="Arial" w:hAnsi="Arial"/>
                <w:sz w:val="22"/>
                <w:lang w:val="en-GB"/>
              </w:rPr>
              <w:t>Faculty of Pre-hospital Care sub-specialty working group convened</w:t>
            </w:r>
          </w:p>
        </w:tc>
      </w:tr>
      <w:tr w:rsidR="00541AF3" w:rsidRPr="0073552D" w:rsidTr="0073552D">
        <w:tc>
          <w:tcPr>
            <w:tcW w:w="1418" w:type="dxa"/>
          </w:tcPr>
          <w:p w:rsidR="00541AF3" w:rsidRPr="0073552D" w:rsidRDefault="00541AF3" w:rsidP="0073552D">
            <w:pPr>
              <w:spacing w:after="0"/>
              <w:rPr>
                <w:rFonts w:ascii="Arial" w:hAnsi="Arial"/>
                <w:lang w:val="en-GB"/>
              </w:rPr>
            </w:pPr>
            <w:r w:rsidRPr="0073552D">
              <w:rPr>
                <w:rFonts w:ascii="Arial" w:hAnsi="Arial"/>
                <w:sz w:val="22"/>
                <w:lang w:val="en-GB"/>
              </w:rPr>
              <w:t>Mar 2008</w:t>
            </w:r>
          </w:p>
        </w:tc>
        <w:tc>
          <w:tcPr>
            <w:tcW w:w="6990" w:type="dxa"/>
          </w:tcPr>
          <w:p w:rsidR="00541AF3" w:rsidRPr="0073552D" w:rsidRDefault="00541AF3" w:rsidP="0073552D">
            <w:pPr>
              <w:spacing w:after="0"/>
              <w:rPr>
                <w:rFonts w:ascii="Arial" w:hAnsi="Arial"/>
                <w:lang w:val="en-GB"/>
              </w:rPr>
            </w:pPr>
            <w:r w:rsidRPr="0073552D">
              <w:rPr>
                <w:rFonts w:ascii="Arial" w:hAnsi="Arial"/>
                <w:sz w:val="22"/>
                <w:lang w:val="en-GB"/>
              </w:rPr>
              <w:t>Faculty Training Fellowship programme (pre-prototype training programme) launched</w:t>
            </w:r>
          </w:p>
        </w:tc>
      </w:tr>
      <w:tr w:rsidR="00541AF3" w:rsidRPr="0073552D" w:rsidTr="0073552D">
        <w:tc>
          <w:tcPr>
            <w:tcW w:w="1418" w:type="dxa"/>
          </w:tcPr>
          <w:p w:rsidR="00541AF3" w:rsidRPr="0073552D" w:rsidRDefault="00541AF3" w:rsidP="0073552D">
            <w:pPr>
              <w:spacing w:after="0"/>
              <w:rPr>
                <w:rFonts w:ascii="Arial" w:hAnsi="Arial"/>
                <w:lang w:val="en-GB"/>
              </w:rPr>
            </w:pPr>
            <w:r w:rsidRPr="0073552D">
              <w:rPr>
                <w:rFonts w:ascii="Arial" w:hAnsi="Arial"/>
                <w:sz w:val="22"/>
                <w:lang w:val="en-GB"/>
              </w:rPr>
              <w:t>Jun 2008</w:t>
            </w:r>
          </w:p>
        </w:tc>
        <w:tc>
          <w:tcPr>
            <w:tcW w:w="6990" w:type="dxa"/>
          </w:tcPr>
          <w:p w:rsidR="00541AF3" w:rsidRPr="0073552D" w:rsidRDefault="00541AF3" w:rsidP="0073552D">
            <w:pPr>
              <w:spacing w:after="0"/>
              <w:rPr>
                <w:rFonts w:ascii="Arial" w:hAnsi="Arial"/>
                <w:lang w:val="en-GB"/>
              </w:rPr>
            </w:pPr>
            <w:r w:rsidRPr="0073552D">
              <w:rPr>
                <w:rFonts w:ascii="Arial" w:hAnsi="Arial"/>
                <w:sz w:val="22"/>
                <w:lang w:val="en-GB"/>
              </w:rPr>
              <w:t>Initial meeting of members of the Academy of Medical Royal Colleges – Chaired by Sir Peter Simpson</w:t>
            </w:r>
          </w:p>
        </w:tc>
      </w:tr>
      <w:tr w:rsidR="00541AF3" w:rsidRPr="0073552D" w:rsidTr="0073552D">
        <w:tc>
          <w:tcPr>
            <w:tcW w:w="1418" w:type="dxa"/>
          </w:tcPr>
          <w:p w:rsidR="00541AF3" w:rsidRPr="0073552D" w:rsidRDefault="00541AF3" w:rsidP="0073552D">
            <w:pPr>
              <w:spacing w:after="0"/>
              <w:rPr>
                <w:rFonts w:ascii="Arial" w:hAnsi="Arial"/>
                <w:lang w:val="en-GB"/>
              </w:rPr>
            </w:pPr>
            <w:r w:rsidRPr="0073552D">
              <w:rPr>
                <w:rFonts w:ascii="Arial" w:hAnsi="Arial"/>
                <w:sz w:val="22"/>
                <w:lang w:val="en-GB"/>
              </w:rPr>
              <w:t>May 2009</w:t>
            </w:r>
          </w:p>
        </w:tc>
        <w:tc>
          <w:tcPr>
            <w:tcW w:w="6990" w:type="dxa"/>
          </w:tcPr>
          <w:p w:rsidR="00541AF3" w:rsidRPr="0073552D" w:rsidRDefault="00541AF3" w:rsidP="0073552D">
            <w:pPr>
              <w:spacing w:after="0"/>
              <w:rPr>
                <w:rFonts w:ascii="Arial" w:hAnsi="Arial"/>
                <w:lang w:val="en-GB"/>
              </w:rPr>
            </w:pPr>
            <w:r w:rsidRPr="0073552D">
              <w:rPr>
                <w:rFonts w:ascii="Arial" w:hAnsi="Arial"/>
                <w:sz w:val="22"/>
                <w:lang w:val="en-GB"/>
              </w:rPr>
              <w:t>First formal meeting of new Intercollegiate Board for Training in Pre-hospital Emergency Medicine (IBTPHEM)</w:t>
            </w:r>
          </w:p>
        </w:tc>
      </w:tr>
      <w:tr w:rsidR="00541AF3" w:rsidRPr="0073552D" w:rsidTr="0073552D">
        <w:tc>
          <w:tcPr>
            <w:tcW w:w="1418" w:type="dxa"/>
          </w:tcPr>
          <w:p w:rsidR="00541AF3" w:rsidRPr="0073552D" w:rsidRDefault="00541AF3" w:rsidP="0073552D">
            <w:pPr>
              <w:spacing w:after="0"/>
              <w:rPr>
                <w:rFonts w:ascii="Arial" w:hAnsi="Arial"/>
                <w:lang w:val="en-GB"/>
              </w:rPr>
            </w:pPr>
            <w:r w:rsidRPr="0073552D">
              <w:rPr>
                <w:rFonts w:ascii="Arial" w:hAnsi="Arial"/>
                <w:sz w:val="22"/>
                <w:lang w:val="en-GB"/>
              </w:rPr>
              <w:t>Oct 2010</w:t>
            </w:r>
          </w:p>
        </w:tc>
        <w:tc>
          <w:tcPr>
            <w:tcW w:w="6990" w:type="dxa"/>
          </w:tcPr>
          <w:p w:rsidR="00541AF3" w:rsidRPr="0073552D" w:rsidRDefault="00541AF3" w:rsidP="0073552D">
            <w:pPr>
              <w:spacing w:after="0"/>
              <w:rPr>
                <w:rFonts w:ascii="Arial" w:hAnsi="Arial"/>
                <w:lang w:val="en-GB"/>
              </w:rPr>
            </w:pPr>
            <w:r w:rsidRPr="0073552D">
              <w:rPr>
                <w:rFonts w:ascii="Arial" w:hAnsi="Arial"/>
                <w:sz w:val="22"/>
                <w:lang w:val="en-GB"/>
              </w:rPr>
              <w:t xml:space="preserve">Faculty of Pre-hospital Care, on behalf of the IBTPHEM, submitted a step 1 application (Rationale for new sub-specialty) to the GMC for the introduction of Pre-hospital Emergency Medicine (PHEM) as a new sub-specialty of Emergency Medicine and Anaesthetics. </w:t>
            </w:r>
          </w:p>
        </w:tc>
      </w:tr>
      <w:tr w:rsidR="00541AF3" w:rsidRPr="0073552D" w:rsidTr="0073552D">
        <w:tc>
          <w:tcPr>
            <w:tcW w:w="1418" w:type="dxa"/>
          </w:tcPr>
          <w:p w:rsidR="00541AF3" w:rsidRPr="0073552D" w:rsidRDefault="00541AF3" w:rsidP="0073552D">
            <w:pPr>
              <w:spacing w:after="0"/>
              <w:rPr>
                <w:rFonts w:ascii="Arial" w:hAnsi="Arial"/>
                <w:lang w:val="en-GB"/>
              </w:rPr>
            </w:pPr>
            <w:r w:rsidRPr="0073552D">
              <w:rPr>
                <w:rFonts w:ascii="Arial" w:hAnsi="Arial"/>
                <w:sz w:val="22"/>
                <w:lang w:val="en-GB"/>
              </w:rPr>
              <w:t>Nov 2010</w:t>
            </w:r>
          </w:p>
        </w:tc>
        <w:tc>
          <w:tcPr>
            <w:tcW w:w="6990" w:type="dxa"/>
          </w:tcPr>
          <w:p w:rsidR="00541AF3" w:rsidRPr="0073552D" w:rsidRDefault="00541AF3" w:rsidP="0073552D">
            <w:pPr>
              <w:spacing w:after="0"/>
              <w:rPr>
                <w:rFonts w:ascii="Arial" w:hAnsi="Arial"/>
                <w:lang w:val="en-GB"/>
              </w:rPr>
            </w:pPr>
            <w:r w:rsidRPr="0073552D">
              <w:rPr>
                <w:rFonts w:ascii="Arial" w:hAnsi="Arial"/>
                <w:sz w:val="22"/>
                <w:lang w:val="en-GB"/>
              </w:rPr>
              <w:t xml:space="preserve">GMC accepted the rationale for the new sub-specialty and authorised progression to step 2 of the protocol. </w:t>
            </w:r>
          </w:p>
        </w:tc>
      </w:tr>
      <w:tr w:rsidR="00541AF3" w:rsidRPr="0073552D" w:rsidTr="0073552D">
        <w:tc>
          <w:tcPr>
            <w:tcW w:w="1418" w:type="dxa"/>
          </w:tcPr>
          <w:p w:rsidR="00541AF3" w:rsidRPr="0073552D" w:rsidRDefault="00541AF3" w:rsidP="0073552D">
            <w:pPr>
              <w:spacing w:after="0"/>
              <w:rPr>
                <w:rFonts w:ascii="Arial" w:hAnsi="Arial"/>
                <w:lang w:val="en-GB"/>
              </w:rPr>
            </w:pPr>
            <w:r w:rsidRPr="0073552D">
              <w:rPr>
                <w:rFonts w:ascii="Arial" w:hAnsi="Arial"/>
                <w:sz w:val="22"/>
                <w:lang w:val="en-GB"/>
              </w:rPr>
              <w:t>Jan 2011</w:t>
            </w:r>
          </w:p>
        </w:tc>
        <w:tc>
          <w:tcPr>
            <w:tcW w:w="6990" w:type="dxa"/>
          </w:tcPr>
          <w:p w:rsidR="00541AF3" w:rsidRPr="0073552D" w:rsidRDefault="00541AF3" w:rsidP="0073552D">
            <w:pPr>
              <w:spacing w:after="0"/>
              <w:rPr>
                <w:rFonts w:ascii="Arial" w:hAnsi="Arial"/>
                <w:lang w:val="en-GB"/>
              </w:rPr>
            </w:pPr>
            <w:r w:rsidRPr="0073552D">
              <w:rPr>
                <w:rFonts w:ascii="Arial" w:hAnsi="Arial"/>
                <w:sz w:val="22"/>
                <w:lang w:val="en-GB"/>
              </w:rPr>
              <w:t>Faculty, on behalf of the IBTPHEM submitted step 2 application to GMC (Approval of curriculum and assessment systems)</w:t>
            </w:r>
          </w:p>
        </w:tc>
      </w:tr>
      <w:tr w:rsidR="00541AF3" w:rsidRPr="0073552D" w:rsidTr="0073552D">
        <w:tc>
          <w:tcPr>
            <w:tcW w:w="1418" w:type="dxa"/>
          </w:tcPr>
          <w:p w:rsidR="00541AF3" w:rsidRPr="0073552D" w:rsidRDefault="00541AF3" w:rsidP="0073552D">
            <w:pPr>
              <w:spacing w:after="0"/>
              <w:rPr>
                <w:rFonts w:ascii="Arial" w:hAnsi="Arial"/>
                <w:lang w:val="en-GB"/>
              </w:rPr>
            </w:pPr>
            <w:r w:rsidRPr="0073552D">
              <w:rPr>
                <w:rFonts w:ascii="Arial" w:hAnsi="Arial"/>
                <w:sz w:val="22"/>
                <w:lang w:val="en-GB"/>
              </w:rPr>
              <w:t>Feb 2011</w:t>
            </w:r>
          </w:p>
        </w:tc>
        <w:tc>
          <w:tcPr>
            <w:tcW w:w="6990" w:type="dxa"/>
          </w:tcPr>
          <w:p w:rsidR="00541AF3" w:rsidRPr="0073552D" w:rsidRDefault="00541AF3" w:rsidP="0073552D">
            <w:pPr>
              <w:spacing w:after="0"/>
              <w:rPr>
                <w:rFonts w:ascii="Arial" w:hAnsi="Arial"/>
                <w:lang w:val="en-GB"/>
              </w:rPr>
            </w:pPr>
            <w:r w:rsidRPr="0073552D">
              <w:rPr>
                <w:rFonts w:ascii="Arial" w:hAnsi="Arial"/>
                <w:sz w:val="22"/>
                <w:lang w:val="en-GB"/>
              </w:rPr>
              <w:t xml:space="preserve">Curriculum approved by the GMC </w:t>
            </w:r>
          </w:p>
        </w:tc>
      </w:tr>
      <w:tr w:rsidR="00541AF3" w:rsidRPr="0073552D" w:rsidTr="0073552D">
        <w:tc>
          <w:tcPr>
            <w:tcW w:w="1418" w:type="dxa"/>
          </w:tcPr>
          <w:p w:rsidR="00541AF3" w:rsidRPr="0073552D" w:rsidRDefault="00541AF3" w:rsidP="0073552D">
            <w:pPr>
              <w:spacing w:after="0"/>
              <w:rPr>
                <w:rFonts w:ascii="Arial" w:hAnsi="Arial"/>
                <w:lang w:val="en-GB"/>
              </w:rPr>
            </w:pPr>
            <w:r w:rsidRPr="0073552D">
              <w:rPr>
                <w:rFonts w:ascii="Arial" w:hAnsi="Arial"/>
                <w:sz w:val="22"/>
                <w:lang w:val="en-GB"/>
              </w:rPr>
              <w:t>Jul 2011</w:t>
            </w:r>
          </w:p>
        </w:tc>
        <w:tc>
          <w:tcPr>
            <w:tcW w:w="6990" w:type="dxa"/>
          </w:tcPr>
          <w:p w:rsidR="00541AF3" w:rsidRPr="0073552D" w:rsidRDefault="00541AF3" w:rsidP="0073552D">
            <w:pPr>
              <w:spacing w:after="0"/>
              <w:rPr>
                <w:rFonts w:ascii="Arial" w:hAnsi="Arial"/>
                <w:lang w:val="en-GB"/>
              </w:rPr>
            </w:pPr>
            <w:r w:rsidRPr="0073552D">
              <w:rPr>
                <w:rFonts w:ascii="Arial" w:hAnsi="Arial"/>
                <w:sz w:val="22"/>
                <w:lang w:val="en-GB"/>
              </w:rPr>
              <w:t>Assessment system approved by the GMC</w:t>
            </w:r>
          </w:p>
        </w:tc>
      </w:tr>
      <w:tr w:rsidR="00541AF3" w:rsidRPr="0073552D" w:rsidTr="0073552D">
        <w:tc>
          <w:tcPr>
            <w:tcW w:w="1418" w:type="dxa"/>
          </w:tcPr>
          <w:p w:rsidR="00541AF3" w:rsidRPr="0073552D" w:rsidRDefault="00541AF3" w:rsidP="0073552D">
            <w:pPr>
              <w:spacing w:after="0"/>
              <w:rPr>
                <w:rFonts w:ascii="Arial" w:hAnsi="Arial"/>
                <w:b/>
                <w:lang w:val="en-GB"/>
              </w:rPr>
            </w:pPr>
            <w:r w:rsidRPr="0073552D">
              <w:rPr>
                <w:rFonts w:ascii="Arial" w:hAnsi="Arial"/>
                <w:b/>
                <w:sz w:val="22"/>
                <w:lang w:val="en-GB"/>
              </w:rPr>
              <w:t>Present</w:t>
            </w:r>
          </w:p>
        </w:tc>
        <w:tc>
          <w:tcPr>
            <w:tcW w:w="6990" w:type="dxa"/>
          </w:tcPr>
          <w:p w:rsidR="00541AF3" w:rsidRPr="0073552D" w:rsidRDefault="00541AF3" w:rsidP="0073552D">
            <w:pPr>
              <w:spacing w:after="0"/>
              <w:rPr>
                <w:rFonts w:ascii="Arial" w:hAnsi="Arial"/>
                <w:b/>
                <w:lang w:val="en-GB"/>
              </w:rPr>
            </w:pPr>
            <w:r w:rsidRPr="0073552D">
              <w:rPr>
                <w:rFonts w:ascii="Arial" w:hAnsi="Arial"/>
                <w:b/>
                <w:sz w:val="22"/>
                <w:lang w:val="en-GB"/>
              </w:rPr>
              <w:t>Regional postgraduate deaneries asked to prepare application for approval of training programmes</w:t>
            </w:r>
          </w:p>
        </w:tc>
      </w:tr>
      <w:tr w:rsidR="00541AF3" w:rsidRPr="0073552D" w:rsidTr="0073552D">
        <w:tc>
          <w:tcPr>
            <w:tcW w:w="1418" w:type="dxa"/>
          </w:tcPr>
          <w:p w:rsidR="00541AF3" w:rsidRPr="0073552D" w:rsidRDefault="00541AF3" w:rsidP="0073552D">
            <w:pPr>
              <w:spacing w:after="0"/>
              <w:rPr>
                <w:rFonts w:ascii="Arial" w:hAnsi="Arial"/>
                <w:i/>
                <w:lang w:val="en-GB"/>
              </w:rPr>
            </w:pPr>
            <w:r w:rsidRPr="0073552D">
              <w:rPr>
                <w:rFonts w:ascii="Arial" w:hAnsi="Arial"/>
                <w:i/>
                <w:sz w:val="22"/>
                <w:lang w:val="en-GB"/>
              </w:rPr>
              <w:t>Aug 2012</w:t>
            </w:r>
          </w:p>
        </w:tc>
        <w:tc>
          <w:tcPr>
            <w:tcW w:w="6990" w:type="dxa"/>
          </w:tcPr>
          <w:p w:rsidR="00541AF3" w:rsidRPr="0073552D" w:rsidRDefault="00541AF3" w:rsidP="0073552D">
            <w:pPr>
              <w:spacing w:after="0"/>
              <w:rPr>
                <w:rFonts w:ascii="Arial" w:hAnsi="Arial"/>
                <w:i/>
                <w:lang w:val="en-GB"/>
              </w:rPr>
            </w:pPr>
            <w:r w:rsidRPr="0073552D">
              <w:rPr>
                <w:rFonts w:ascii="Arial" w:hAnsi="Arial"/>
                <w:i/>
                <w:sz w:val="22"/>
                <w:lang w:val="en-GB"/>
              </w:rPr>
              <w:t>First intake of PHEM sub-specialty trainees</w:t>
            </w:r>
          </w:p>
        </w:tc>
      </w:tr>
    </w:tbl>
    <w:p w:rsidR="00541AF3" w:rsidRDefault="00541AF3" w:rsidP="00244C61">
      <w:pPr>
        <w:spacing w:after="0"/>
      </w:pPr>
    </w:p>
    <w:p w:rsidR="00541AF3" w:rsidRDefault="00541AF3" w:rsidP="00B17C5E">
      <w:pPr>
        <w:pStyle w:val="Default"/>
        <w:jc w:val="center"/>
        <w:rPr>
          <w:i/>
          <w:sz w:val="20"/>
          <w:szCs w:val="20"/>
        </w:rPr>
      </w:pPr>
      <w:r>
        <w:rPr>
          <w:i/>
          <w:sz w:val="20"/>
          <w:szCs w:val="20"/>
        </w:rPr>
        <w:t>Table 1</w:t>
      </w:r>
      <w:r w:rsidRPr="00B939BB">
        <w:rPr>
          <w:i/>
          <w:sz w:val="20"/>
          <w:szCs w:val="20"/>
        </w:rPr>
        <w:t xml:space="preserve">. </w:t>
      </w:r>
      <w:r>
        <w:rPr>
          <w:i/>
          <w:sz w:val="20"/>
          <w:szCs w:val="20"/>
        </w:rPr>
        <w:t>Evolution of PHEM sub-specialty</w:t>
      </w:r>
    </w:p>
    <w:p w:rsidR="00541AF3" w:rsidRPr="00D058D4" w:rsidRDefault="00541AF3" w:rsidP="00B17C5E">
      <w:pPr>
        <w:pStyle w:val="Default"/>
        <w:jc w:val="center"/>
        <w:rPr>
          <w:i/>
          <w:sz w:val="22"/>
          <w:szCs w:val="20"/>
        </w:rPr>
      </w:pPr>
    </w:p>
    <w:p w:rsidR="00541AF3" w:rsidRPr="00D058D4" w:rsidRDefault="00541AF3">
      <w:pPr>
        <w:rPr>
          <w:rFonts w:ascii="Arial" w:hAnsi="Arial"/>
          <w:b/>
          <w:sz w:val="22"/>
        </w:rPr>
      </w:pPr>
      <w:r w:rsidRPr="00D058D4">
        <w:rPr>
          <w:rFonts w:ascii="Arial" w:hAnsi="Arial"/>
          <w:b/>
          <w:sz w:val="22"/>
        </w:rPr>
        <w:t>3. The Intercollegiate Board</w:t>
      </w:r>
    </w:p>
    <w:p w:rsidR="00541AF3" w:rsidRPr="00D058D4" w:rsidRDefault="00541AF3" w:rsidP="00D058D4">
      <w:pPr>
        <w:jc w:val="both"/>
        <w:rPr>
          <w:rFonts w:ascii="Arial" w:hAnsi="Arial"/>
          <w:sz w:val="22"/>
        </w:rPr>
      </w:pPr>
      <w:r w:rsidRPr="00D058D4">
        <w:rPr>
          <w:rFonts w:ascii="Arial" w:hAnsi="Arial"/>
          <w:sz w:val="22"/>
        </w:rPr>
        <w:t>3.1 PHEM training is supervised by the Intercollegiate Board for Training in Pre-hospital Emergency Medicine (IBTPHEM) on behalf of four lead colleges:</w:t>
      </w:r>
    </w:p>
    <w:p w:rsidR="00541AF3" w:rsidRPr="00D058D4" w:rsidRDefault="00541AF3" w:rsidP="00D058D4">
      <w:pPr>
        <w:numPr>
          <w:ilvl w:val="1"/>
          <w:numId w:val="4"/>
        </w:numPr>
        <w:spacing w:after="0"/>
        <w:jc w:val="both"/>
        <w:rPr>
          <w:rFonts w:ascii="Arial" w:hAnsi="Arial"/>
          <w:sz w:val="22"/>
          <w:lang w:val="en-GB"/>
        </w:rPr>
      </w:pPr>
      <w:r w:rsidRPr="00D058D4">
        <w:rPr>
          <w:rFonts w:ascii="Arial" w:hAnsi="Arial"/>
          <w:sz w:val="22"/>
          <w:lang w:val="en-GB"/>
        </w:rPr>
        <w:t>The Royal College of Surgeons of Edinburgh (Faculty of Pre-Hospital Care)</w:t>
      </w:r>
    </w:p>
    <w:p w:rsidR="00541AF3" w:rsidRPr="00D058D4" w:rsidRDefault="00541AF3" w:rsidP="00D058D4">
      <w:pPr>
        <w:numPr>
          <w:ilvl w:val="1"/>
          <w:numId w:val="4"/>
        </w:numPr>
        <w:spacing w:after="0"/>
        <w:jc w:val="both"/>
        <w:rPr>
          <w:rFonts w:ascii="Arial" w:hAnsi="Arial"/>
          <w:sz w:val="22"/>
          <w:lang w:val="en-GB"/>
        </w:rPr>
      </w:pPr>
      <w:r w:rsidRPr="00D058D4">
        <w:rPr>
          <w:rFonts w:ascii="Arial" w:hAnsi="Arial"/>
          <w:sz w:val="22"/>
          <w:lang w:val="en-GB"/>
        </w:rPr>
        <w:t>The College of Emergency Medicine</w:t>
      </w:r>
    </w:p>
    <w:p w:rsidR="00541AF3" w:rsidRPr="00D058D4" w:rsidRDefault="00541AF3" w:rsidP="00D058D4">
      <w:pPr>
        <w:numPr>
          <w:ilvl w:val="1"/>
          <w:numId w:val="4"/>
        </w:numPr>
        <w:spacing w:after="0"/>
        <w:jc w:val="both"/>
        <w:rPr>
          <w:rFonts w:ascii="Arial" w:hAnsi="Arial"/>
          <w:sz w:val="22"/>
          <w:lang w:val="en-GB"/>
        </w:rPr>
      </w:pPr>
      <w:r w:rsidRPr="00D058D4">
        <w:rPr>
          <w:rFonts w:ascii="Arial" w:hAnsi="Arial"/>
          <w:sz w:val="22"/>
          <w:lang w:val="en-GB"/>
        </w:rPr>
        <w:t>The Royal College of Anaesthetists</w:t>
      </w:r>
    </w:p>
    <w:p w:rsidR="00541AF3" w:rsidRPr="00D058D4" w:rsidRDefault="00541AF3" w:rsidP="00D058D4">
      <w:pPr>
        <w:numPr>
          <w:ilvl w:val="1"/>
          <w:numId w:val="4"/>
        </w:numPr>
        <w:spacing w:after="0"/>
        <w:jc w:val="both"/>
        <w:rPr>
          <w:rFonts w:ascii="Arial" w:hAnsi="Arial"/>
          <w:sz w:val="22"/>
          <w:lang w:val="en-GB"/>
        </w:rPr>
      </w:pPr>
      <w:r w:rsidRPr="00D058D4">
        <w:rPr>
          <w:rFonts w:ascii="Arial" w:hAnsi="Arial"/>
          <w:sz w:val="22"/>
          <w:lang w:val="en-GB"/>
        </w:rPr>
        <w:t>The Royal College of General Practitioners</w:t>
      </w:r>
    </w:p>
    <w:p w:rsidR="00541AF3" w:rsidRPr="00D058D4" w:rsidRDefault="00541AF3" w:rsidP="00D058D4">
      <w:pPr>
        <w:spacing w:after="0"/>
        <w:ind w:left="1440"/>
        <w:jc w:val="both"/>
        <w:rPr>
          <w:rFonts w:ascii="Arial" w:hAnsi="Arial"/>
          <w:sz w:val="22"/>
          <w:lang w:val="en-GB"/>
        </w:rPr>
      </w:pPr>
    </w:p>
    <w:p w:rsidR="00541AF3" w:rsidRPr="00D058D4" w:rsidRDefault="00541AF3" w:rsidP="00D058D4">
      <w:pPr>
        <w:jc w:val="both"/>
        <w:rPr>
          <w:rFonts w:ascii="Arial" w:hAnsi="Arial"/>
          <w:sz w:val="22"/>
          <w:lang w:val="en-GB"/>
        </w:rPr>
      </w:pPr>
      <w:r w:rsidRPr="00D058D4">
        <w:rPr>
          <w:rFonts w:ascii="Arial" w:hAnsi="Arial"/>
          <w:sz w:val="22"/>
        </w:rPr>
        <w:t xml:space="preserve">3.2  The IBTPHEM is </w:t>
      </w:r>
      <w:r w:rsidRPr="00D058D4">
        <w:rPr>
          <w:rFonts w:ascii="Arial" w:hAnsi="Arial"/>
          <w:sz w:val="22"/>
          <w:lang w:val="en-GB"/>
        </w:rPr>
        <w:t xml:space="preserve">responsible for determining the duration, content and assessment of training and has published a guide to assist trainees, trainers, local education providers, employers and Deaneries. The terms of reference and membership of the IBTPHEM and its Curriculum, Training and Assessment Sub-committee are provided at Annex A. </w:t>
      </w:r>
    </w:p>
    <w:p w:rsidR="00541AF3" w:rsidRPr="00D058D4" w:rsidRDefault="00541AF3" w:rsidP="00D058D4">
      <w:pPr>
        <w:jc w:val="both"/>
        <w:rPr>
          <w:rFonts w:ascii="Arial" w:hAnsi="Arial"/>
          <w:sz w:val="22"/>
        </w:rPr>
      </w:pPr>
      <w:r w:rsidRPr="00D058D4">
        <w:rPr>
          <w:rFonts w:ascii="Arial" w:hAnsi="Arial"/>
          <w:sz w:val="22"/>
          <w:lang w:val="en-GB"/>
        </w:rPr>
        <w:t xml:space="preserve">3.3 </w:t>
      </w:r>
      <w:r w:rsidRPr="00D058D4">
        <w:rPr>
          <w:rFonts w:ascii="Arial" w:hAnsi="Arial"/>
          <w:sz w:val="22"/>
        </w:rPr>
        <w:t xml:space="preserve">The IBTPHEM website (www.ibtphem.org.uk) provides useful additional information. The most up-to-date versions of the Guide, the curriculum framework, the assessment system and the associated workplace based assessments are available from the website. </w:t>
      </w:r>
    </w:p>
    <w:p w:rsidR="00541AF3" w:rsidRPr="00244C61" w:rsidRDefault="00541AF3">
      <w:pPr>
        <w:rPr>
          <w:rFonts w:ascii="Arial" w:hAnsi="Arial"/>
          <w:b/>
          <w:sz w:val="22"/>
        </w:rPr>
      </w:pPr>
      <w:r>
        <w:rPr>
          <w:rFonts w:ascii="Arial" w:hAnsi="Arial"/>
          <w:b/>
          <w:sz w:val="22"/>
        </w:rPr>
        <w:br w:type="page"/>
      </w:r>
      <w:r w:rsidRPr="00244C61">
        <w:rPr>
          <w:rFonts w:ascii="Arial" w:hAnsi="Arial"/>
          <w:b/>
          <w:sz w:val="22"/>
        </w:rPr>
        <w:t>4. Training</w:t>
      </w:r>
    </w:p>
    <w:p w:rsidR="00541AF3" w:rsidRPr="00244C61" w:rsidRDefault="00541AF3" w:rsidP="00244C61">
      <w:pPr>
        <w:jc w:val="both"/>
        <w:rPr>
          <w:rFonts w:ascii="Arial" w:hAnsi="Arial"/>
          <w:sz w:val="22"/>
          <w:lang w:val="en-GB"/>
        </w:rPr>
      </w:pPr>
      <w:r w:rsidRPr="00244C61">
        <w:rPr>
          <w:rFonts w:ascii="Arial" w:hAnsi="Arial"/>
          <w:sz w:val="22"/>
        </w:rPr>
        <w:t xml:space="preserve">4.1 </w:t>
      </w:r>
      <w:r w:rsidRPr="00244C61">
        <w:rPr>
          <w:rFonts w:ascii="Arial" w:hAnsi="Arial"/>
          <w:sz w:val="22"/>
          <w:lang w:val="en-GB"/>
        </w:rPr>
        <w:t xml:space="preserve">Sub-specialty training in PHEM takes place in the context of UK wide specialty training in Emergency Medicine and Anaesthetics. </w:t>
      </w:r>
    </w:p>
    <w:p w:rsidR="00541AF3" w:rsidRPr="00244C61" w:rsidRDefault="00541AF3" w:rsidP="00244C61">
      <w:pPr>
        <w:jc w:val="both"/>
        <w:rPr>
          <w:rFonts w:ascii="Arial" w:hAnsi="Arial"/>
          <w:sz w:val="22"/>
          <w:lang w:val="en-GB"/>
        </w:rPr>
      </w:pPr>
      <w:r w:rsidRPr="00244C61">
        <w:rPr>
          <w:rFonts w:ascii="Arial" w:hAnsi="Arial"/>
          <w:sz w:val="22"/>
          <w:lang w:val="en-GB"/>
        </w:rPr>
        <w:t xml:space="preserve">4.2 </w:t>
      </w:r>
      <w:r w:rsidRPr="00244C61">
        <w:rPr>
          <w:rFonts w:ascii="Arial" w:hAnsi="Arial"/>
          <w:sz w:val="22"/>
        </w:rPr>
        <w:t>The PHEM trainee is required to undertake a minimum of 12 months whole time equivalent sub-specialist training in PHEM (in approved PHEM training programmes) and successfully complete the required formative and summative assessments in order to be recommended for a certificate of completion PHEM sub-specialty training.</w:t>
      </w:r>
    </w:p>
    <w:p w:rsidR="00541AF3" w:rsidRPr="00244C61" w:rsidRDefault="00541AF3" w:rsidP="00244C61">
      <w:pPr>
        <w:jc w:val="both"/>
        <w:rPr>
          <w:rFonts w:ascii="Arial" w:hAnsi="Arial"/>
          <w:sz w:val="22"/>
        </w:rPr>
      </w:pPr>
      <w:r>
        <w:rPr>
          <w:rFonts w:ascii="Arial" w:hAnsi="Arial"/>
          <w:sz w:val="22"/>
        </w:rPr>
        <w:t>4.3 T</w:t>
      </w:r>
      <w:r w:rsidRPr="00244C61">
        <w:rPr>
          <w:rFonts w:ascii="Arial" w:hAnsi="Arial"/>
          <w:sz w:val="22"/>
        </w:rPr>
        <w:t xml:space="preserve">raining may be undertaken before or after completion of the core CCT programme in Emergency Medicine or Anaesthetics. For trainees who are pre-CCT, PHEM training is undertaken </w:t>
      </w:r>
      <w:r w:rsidRPr="00244C61">
        <w:rPr>
          <w:rFonts w:ascii="Arial" w:hAnsi="Arial"/>
          <w:i/>
          <w:sz w:val="22"/>
        </w:rPr>
        <w:t>after</w:t>
      </w:r>
      <w:r w:rsidRPr="00244C61">
        <w:rPr>
          <w:rFonts w:ascii="Arial" w:hAnsi="Arial"/>
          <w:sz w:val="22"/>
        </w:rPr>
        <w:t xml:space="preserve"> the fourth year of specialty training (ST4). For post-CCT trainees, PHEM training may be undertaken at any stage. </w:t>
      </w:r>
    </w:p>
    <w:p w:rsidR="00541AF3" w:rsidRPr="00244C61" w:rsidRDefault="00541AF3" w:rsidP="00244C61">
      <w:pPr>
        <w:jc w:val="both"/>
        <w:rPr>
          <w:rFonts w:ascii="Arial" w:hAnsi="Arial"/>
          <w:sz w:val="22"/>
        </w:rPr>
      </w:pPr>
      <w:r w:rsidRPr="00244C61">
        <w:rPr>
          <w:rFonts w:ascii="Arial" w:hAnsi="Arial"/>
          <w:sz w:val="22"/>
        </w:rPr>
        <w:t>4.4 All PHEM training programmes will take place after ST4 and will extend core specialty training by one year. Deaneries and LEPs are able to design training programmes that integrate the recommended minimum 12 months whole time equivalent PHEM training into core specialty training. Although there are many possible ways of integrating PHEM sub-specialty training with core CCT training, the IBTPHEM recommend one of three options:</w:t>
      </w:r>
    </w:p>
    <w:p w:rsidR="00541AF3" w:rsidRPr="00244C61" w:rsidRDefault="00541AF3" w:rsidP="00244C61">
      <w:pPr>
        <w:numPr>
          <w:ilvl w:val="0"/>
          <w:numId w:val="5"/>
        </w:numPr>
        <w:rPr>
          <w:rFonts w:ascii="Arial" w:hAnsi="Arial"/>
          <w:sz w:val="22"/>
        </w:rPr>
      </w:pPr>
      <w:r w:rsidRPr="00244C61">
        <w:rPr>
          <w:rFonts w:ascii="Arial" w:hAnsi="Arial"/>
          <w:sz w:val="22"/>
        </w:rPr>
        <w:t>a 24 month period of PHEM training blended with core CCT training (Scheme A)  – figure 3</w:t>
      </w:r>
    </w:p>
    <w:p w:rsidR="00541AF3" w:rsidRPr="00244C61" w:rsidRDefault="00541AF3" w:rsidP="00244C61">
      <w:pPr>
        <w:numPr>
          <w:ilvl w:val="0"/>
          <w:numId w:val="5"/>
        </w:numPr>
        <w:rPr>
          <w:rFonts w:ascii="Arial" w:hAnsi="Arial"/>
          <w:sz w:val="22"/>
        </w:rPr>
      </w:pPr>
      <w:r w:rsidRPr="00244C61">
        <w:rPr>
          <w:rFonts w:ascii="Arial" w:hAnsi="Arial"/>
          <w:sz w:val="22"/>
        </w:rPr>
        <w:t>a 24 month period of alternating 6 month blocks of sub-specialty PHEM and core CCT training (Scheme B) – figure 3</w:t>
      </w:r>
    </w:p>
    <w:p w:rsidR="00541AF3" w:rsidRPr="00244C61" w:rsidRDefault="00541AF3" w:rsidP="00244C61">
      <w:pPr>
        <w:numPr>
          <w:ilvl w:val="0"/>
          <w:numId w:val="5"/>
        </w:numPr>
        <w:rPr>
          <w:rFonts w:ascii="Arial" w:hAnsi="Arial"/>
          <w:sz w:val="22"/>
        </w:rPr>
      </w:pPr>
      <w:r w:rsidRPr="00244C61">
        <w:rPr>
          <w:rFonts w:ascii="Arial" w:hAnsi="Arial"/>
          <w:sz w:val="22"/>
        </w:rPr>
        <w:t>a 12 month period of PHEM training inserted into core CC</w:t>
      </w:r>
      <w:r>
        <w:rPr>
          <w:rFonts w:ascii="Arial" w:hAnsi="Arial"/>
          <w:sz w:val="22"/>
        </w:rPr>
        <w:t>T training (Scheme C) – figure 4</w:t>
      </w:r>
    </w:p>
    <w:p w:rsidR="00541AF3" w:rsidRDefault="00DC3E35" w:rsidP="00244C61">
      <w:pPr>
        <w:pStyle w:val="ListParagraph"/>
        <w:spacing w:after="0"/>
        <w:ind w:left="0"/>
        <w:jc w:val="center"/>
        <w:rPr>
          <w:rFonts w:ascii="Arial" w:hAnsi="Arial" w:cs="Arial"/>
          <w:sz w:val="22"/>
        </w:rPr>
      </w:pPr>
      <w:r>
        <w:rPr>
          <w:rFonts w:ascii="Arial" w:hAnsi="Arial" w:cs="Arial"/>
          <w:noProof/>
          <w:sz w:val="22"/>
          <w:lang w:val="en-GB" w:eastAsia="en-GB"/>
        </w:rPr>
        <w:drawing>
          <wp:inline distT="0" distB="0" distL="0" distR="0">
            <wp:extent cx="5273675" cy="3678555"/>
            <wp:effectExtent l="0" t="0" r="0" b="0"/>
            <wp:docPr id="3" name="O 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896100" cy="4639363"/>
                      <a:chOff x="1024718" y="796237"/>
                      <a:chExt cx="6896100" cy="4639363"/>
                    </a:xfrm>
                  </a:grpSpPr>
                  <a:grpSp>
                    <a:nvGrpSpPr>
                      <a:cNvPr id="24" name="Group 23"/>
                      <a:cNvGrpSpPr/>
                    </a:nvGrpSpPr>
                    <a:grpSpPr>
                      <a:xfrm>
                        <a:off x="1024718" y="796237"/>
                        <a:ext cx="6896100" cy="4639363"/>
                        <a:chOff x="1024718" y="796237"/>
                        <a:chExt cx="6896100" cy="4639363"/>
                      </a:xfrm>
                    </a:grpSpPr>
                    <a:sp>
                      <a:nvSpPr>
                        <a:cNvPr id="4" name="Isosceles Triangle 3"/>
                        <a:cNvSpPr/>
                      </a:nvSpPr>
                      <a:spPr>
                        <a:xfrm>
                          <a:off x="1050118" y="1177346"/>
                          <a:ext cx="6870700" cy="1190682"/>
                        </a:xfrm>
                        <a:prstGeom prst="triangle">
                          <a:avLst>
                            <a:gd name="adj" fmla="val 50629"/>
                          </a:avLst>
                        </a:prstGeom>
                        <a:solidFill>
                          <a:schemeClr val="bg2">
                            <a:lumMod val="75000"/>
                          </a:schemeClr>
                        </a:solidFill>
                        <a:ln>
                          <a:solidFill>
                            <a:schemeClr val="tx1"/>
                          </a:solidFill>
                          <a:prstDash val="sysDot"/>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latin typeface="Arial"/>
                              <a:cs typeface="Arial"/>
                            </a:endParaRPr>
                          </a:p>
                        </a:txBody>
                        <a:useSpRect/>
                      </a:txSp>
                      <a:style>
                        <a:lnRef idx="1">
                          <a:schemeClr val="accent1"/>
                        </a:lnRef>
                        <a:fillRef idx="3">
                          <a:schemeClr val="accent1"/>
                        </a:fillRef>
                        <a:effectRef idx="2">
                          <a:schemeClr val="accent1"/>
                        </a:effectRef>
                        <a:fontRef idx="minor">
                          <a:schemeClr val="lt1"/>
                        </a:fontRef>
                      </a:style>
                    </a:sp>
                    <a:sp>
                      <a:nvSpPr>
                        <a:cNvPr id="5" name="Rounded Rectangle 4"/>
                        <a:cNvSpPr/>
                      </a:nvSpPr>
                      <a:spPr>
                        <a:xfrm>
                          <a:off x="3579763" y="796237"/>
                          <a:ext cx="2269078" cy="1006382"/>
                        </a:xfrm>
                        <a:prstGeom prst="roundRect">
                          <a:avLst/>
                        </a:prstGeom>
                        <a:solidFill>
                          <a:srgbClr val="FF6600"/>
                        </a:solidFill>
                        <a:ln>
                          <a:solidFill>
                            <a:srgbClr val="000000"/>
                          </a:solidFill>
                        </a:ln>
                        <a:scene3d>
                          <a:camera prst="perspectiveFront"/>
                          <a:lightRig rig="threePt" dir="t"/>
                        </a:scene3d>
                        <a:sp3d>
                          <a:bevelT w="165100" prst="coolSlant"/>
                        </a:sp3d>
                      </a:spPr>
                      <a:txSp>
                        <a:txBody>
                          <a:bodyPr lIns="91430" tIns="45716" rIns="91430" bIns="45716"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defTabSz="457154" fontAlgn="base">
                              <a:spcBef>
                                <a:spcPct val="0"/>
                              </a:spcBef>
                              <a:spcAft>
                                <a:spcPct val="0"/>
                              </a:spcAft>
                              <a:defRPr/>
                            </a:pPr>
                            <a:endParaRPr lang="en-US" sz="1200" dirty="0">
                              <a:solidFill>
                                <a:prstClr val="white"/>
                              </a:solidFill>
                              <a:latin typeface="Arial"/>
                              <a:cs typeface="Arial"/>
                            </a:endParaRPr>
                          </a:p>
                        </a:txBody>
                        <a:useSpRect/>
                      </a:txSp>
                      <a:style>
                        <a:lnRef idx="1">
                          <a:schemeClr val="accent1"/>
                        </a:lnRef>
                        <a:fillRef idx="3">
                          <a:schemeClr val="accent1"/>
                        </a:fillRef>
                        <a:effectRef idx="2">
                          <a:schemeClr val="accent1"/>
                        </a:effectRef>
                        <a:fontRef idx="minor">
                          <a:schemeClr val="lt1"/>
                        </a:fontRef>
                      </a:style>
                    </a:sp>
                    <a:sp>
                      <a:nvSpPr>
                        <a:cNvPr id="6" name="Rounded Rectangle 5"/>
                        <a:cNvSpPr/>
                      </a:nvSpPr>
                      <a:spPr>
                        <a:xfrm>
                          <a:off x="3775122" y="1114001"/>
                          <a:ext cx="1828437" cy="370855"/>
                        </a:xfrm>
                        <a:prstGeom prst="roundRect">
                          <a:avLst/>
                        </a:prstGeom>
                        <a:solidFill>
                          <a:schemeClr val="bg2">
                            <a:lumMod val="75000"/>
                          </a:schemeClr>
                        </a:solidFill>
                        <a:ln>
                          <a:solidFill>
                            <a:schemeClr val="accent2">
                              <a:lumMod val="75000"/>
                            </a:schemeClr>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sz="1100" dirty="0" smtClean="0">
                                <a:solidFill>
                                  <a:schemeClr val="tx1"/>
                                </a:solidFill>
                                <a:latin typeface="Arial"/>
                                <a:cs typeface="Arial"/>
                              </a:rPr>
                              <a:t>12 months WTE over 24 months</a:t>
                            </a:r>
                            <a:endParaRPr lang="en-US" sz="1100" dirty="0">
                              <a:solidFill>
                                <a:schemeClr val="tx1"/>
                              </a:solidFill>
                              <a:latin typeface="Arial"/>
                              <a:cs typeface="Arial"/>
                            </a:endParaRPr>
                          </a:p>
                        </a:txBody>
                        <a:useSpRect/>
                      </a:txSp>
                      <a:style>
                        <a:lnRef idx="1">
                          <a:schemeClr val="accent1"/>
                        </a:lnRef>
                        <a:fillRef idx="3">
                          <a:schemeClr val="accent1"/>
                        </a:fillRef>
                        <a:effectRef idx="2">
                          <a:schemeClr val="accent1"/>
                        </a:effectRef>
                        <a:fontRef idx="minor">
                          <a:schemeClr val="lt1"/>
                        </a:fontRef>
                      </a:style>
                    </a:sp>
                    <a:sp>
                      <a:nvSpPr>
                        <a:cNvPr id="9" name="Rectangle 8"/>
                        <a:cNvSpPr/>
                      </a:nvSpPr>
                      <a:spPr>
                        <a:xfrm>
                          <a:off x="1024718" y="3006890"/>
                          <a:ext cx="1680382" cy="917409"/>
                        </a:xfrm>
                        <a:prstGeom prst="rect">
                          <a:avLst/>
                        </a:prstGeom>
                        <a:solidFill>
                          <a:schemeClr val="tx2">
                            <a:lumMod val="60000"/>
                            <a:lumOff val="40000"/>
                          </a:schemeClr>
                        </a:solidFill>
                        <a:ln>
                          <a:solidFill>
                            <a:schemeClr val="tx1"/>
                          </a:solidFill>
                        </a:ln>
                        <a:effectLst/>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sz="1200" dirty="0" smtClean="0">
                                <a:latin typeface="Arial"/>
                                <a:cs typeface="Arial"/>
                              </a:rPr>
                              <a:t>6 months 80% PHEM phase 1 post, 20% core CCT</a:t>
                            </a:r>
                            <a:endParaRPr lang="en-US" sz="1200" dirty="0">
                              <a:latin typeface="Arial"/>
                              <a:cs typeface="Arial"/>
                            </a:endParaRPr>
                          </a:p>
                        </a:txBody>
                        <a:useSpRect/>
                      </a:txSp>
                      <a:style>
                        <a:lnRef idx="1">
                          <a:schemeClr val="accent1"/>
                        </a:lnRef>
                        <a:fillRef idx="3">
                          <a:schemeClr val="accent1"/>
                        </a:fillRef>
                        <a:effectRef idx="2">
                          <a:schemeClr val="accent1"/>
                        </a:effectRef>
                        <a:fontRef idx="minor">
                          <a:schemeClr val="lt1"/>
                        </a:fontRef>
                      </a:style>
                    </a:sp>
                    <a:sp>
                      <a:nvSpPr>
                        <a:cNvPr id="10" name="Rectangle 9"/>
                        <a:cNvSpPr/>
                      </a:nvSpPr>
                      <a:spPr>
                        <a:xfrm>
                          <a:off x="2763291" y="3006890"/>
                          <a:ext cx="1680382" cy="917409"/>
                        </a:xfrm>
                        <a:prstGeom prst="rect">
                          <a:avLst/>
                        </a:prstGeom>
                        <a:solidFill>
                          <a:schemeClr val="tx2">
                            <a:lumMod val="60000"/>
                            <a:lumOff val="40000"/>
                          </a:schemeClr>
                        </a:solidFill>
                        <a:ln>
                          <a:solidFill>
                            <a:schemeClr val="tx1"/>
                          </a:solidFill>
                        </a:ln>
                        <a:effectLst/>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sz="1200" dirty="0" smtClean="0">
                                <a:latin typeface="Arial"/>
                                <a:cs typeface="Arial"/>
                              </a:rPr>
                              <a:t>6 months 20% PHEM phase 1 post, 80% core CCT</a:t>
                            </a:r>
                            <a:endParaRPr lang="en-US" sz="1200" dirty="0">
                              <a:latin typeface="Arial"/>
                              <a:cs typeface="Arial"/>
                            </a:endParaRPr>
                          </a:p>
                        </a:txBody>
                        <a:useSpRect/>
                      </a:txSp>
                      <a:style>
                        <a:lnRef idx="1">
                          <a:schemeClr val="accent1"/>
                        </a:lnRef>
                        <a:fillRef idx="3">
                          <a:schemeClr val="accent1"/>
                        </a:fillRef>
                        <a:effectRef idx="2">
                          <a:schemeClr val="accent1"/>
                        </a:effectRef>
                        <a:fontRef idx="minor">
                          <a:schemeClr val="lt1"/>
                        </a:fontRef>
                      </a:style>
                    </a:sp>
                    <a:sp>
                      <a:nvSpPr>
                        <a:cNvPr id="11" name="Rectangle 10"/>
                        <a:cNvSpPr/>
                      </a:nvSpPr>
                      <a:spPr>
                        <a:xfrm>
                          <a:off x="4501864" y="3006890"/>
                          <a:ext cx="1680382" cy="917409"/>
                        </a:xfrm>
                        <a:prstGeom prst="rect">
                          <a:avLst/>
                        </a:prstGeom>
                        <a:solidFill>
                          <a:schemeClr val="tx2">
                            <a:lumMod val="60000"/>
                            <a:lumOff val="40000"/>
                          </a:schemeClr>
                        </a:solidFill>
                        <a:ln>
                          <a:solidFill>
                            <a:schemeClr val="tx1"/>
                          </a:solidFill>
                        </a:ln>
                        <a:effectLst/>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sz="1200" dirty="0" smtClean="0">
                                <a:latin typeface="Arial"/>
                                <a:cs typeface="Arial"/>
                              </a:rPr>
                              <a:t>6 months 80% PHEM </a:t>
                            </a:r>
                            <a:r>
                              <a:rPr lang="en-US" sz="1200" dirty="0" smtClean="0">
                                <a:latin typeface="Arial"/>
                                <a:cs typeface="Arial"/>
                              </a:rPr>
                              <a:t>phase 2 post, 20% core CCT</a:t>
                            </a:r>
                            <a:endParaRPr lang="en-US" sz="1200" dirty="0">
                              <a:latin typeface="Arial"/>
                              <a:cs typeface="Arial"/>
                            </a:endParaRPr>
                          </a:p>
                        </a:txBody>
                        <a:useSpRect/>
                      </a:txSp>
                      <a:style>
                        <a:lnRef idx="1">
                          <a:schemeClr val="accent1"/>
                        </a:lnRef>
                        <a:fillRef idx="3">
                          <a:schemeClr val="accent1"/>
                        </a:fillRef>
                        <a:effectRef idx="2">
                          <a:schemeClr val="accent1"/>
                        </a:effectRef>
                        <a:fontRef idx="minor">
                          <a:schemeClr val="lt1"/>
                        </a:fontRef>
                      </a:style>
                    </a:sp>
                    <a:sp>
                      <a:nvSpPr>
                        <a:cNvPr id="12" name="Rectangle 11"/>
                        <a:cNvSpPr/>
                      </a:nvSpPr>
                      <a:spPr>
                        <a:xfrm>
                          <a:off x="6240436" y="3006890"/>
                          <a:ext cx="1680382" cy="917409"/>
                        </a:xfrm>
                        <a:prstGeom prst="rect">
                          <a:avLst/>
                        </a:prstGeom>
                        <a:solidFill>
                          <a:schemeClr val="tx2">
                            <a:lumMod val="60000"/>
                            <a:lumOff val="40000"/>
                          </a:schemeClr>
                        </a:solidFill>
                        <a:ln>
                          <a:solidFill>
                            <a:schemeClr val="tx1"/>
                          </a:solidFill>
                        </a:ln>
                        <a:effectLst/>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sz="1200" dirty="0" smtClean="0">
                                <a:latin typeface="Arial"/>
                                <a:cs typeface="Arial"/>
                              </a:rPr>
                              <a:t>6 months 20% PHEM phase 2 post, 20% Core CCT</a:t>
                            </a:r>
                            <a:endParaRPr lang="en-US" sz="1200" dirty="0">
                              <a:latin typeface="Arial"/>
                              <a:cs typeface="Arial"/>
                            </a:endParaRPr>
                          </a:p>
                        </a:txBody>
                        <a:useSpRect/>
                      </a:txSp>
                      <a:style>
                        <a:lnRef idx="1">
                          <a:schemeClr val="accent1"/>
                        </a:lnRef>
                        <a:fillRef idx="3">
                          <a:schemeClr val="accent1"/>
                        </a:fillRef>
                        <a:effectRef idx="2">
                          <a:schemeClr val="accent1"/>
                        </a:effectRef>
                        <a:fontRef idx="minor">
                          <a:schemeClr val="lt1"/>
                        </a:fontRef>
                      </a:style>
                    </a:sp>
                    <a:sp>
                      <a:nvSpPr>
                        <a:cNvPr id="18" name="Rectangle 17"/>
                        <a:cNvSpPr/>
                      </a:nvSpPr>
                      <a:spPr>
                        <a:xfrm>
                          <a:off x="1024718" y="4518191"/>
                          <a:ext cx="1680382" cy="917409"/>
                        </a:xfrm>
                        <a:prstGeom prst="rect">
                          <a:avLst/>
                        </a:prstGeom>
                        <a:solidFill>
                          <a:schemeClr val="tx2">
                            <a:lumMod val="60000"/>
                            <a:lumOff val="40000"/>
                          </a:schemeClr>
                        </a:solidFill>
                        <a:ln>
                          <a:solidFill>
                            <a:schemeClr val="tx1"/>
                          </a:solidFill>
                        </a:ln>
                        <a:effectLst/>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sz="1200" dirty="0" smtClean="0">
                                <a:latin typeface="Arial"/>
                                <a:cs typeface="Arial"/>
                              </a:rPr>
                              <a:t>6 months F/T PHEM phase 1 post</a:t>
                            </a:r>
                            <a:endParaRPr lang="en-US" sz="1200" dirty="0">
                              <a:latin typeface="Arial"/>
                              <a:cs typeface="Arial"/>
                            </a:endParaRPr>
                          </a:p>
                        </a:txBody>
                        <a:useSpRect/>
                      </a:txSp>
                      <a:style>
                        <a:lnRef idx="1">
                          <a:schemeClr val="accent1"/>
                        </a:lnRef>
                        <a:fillRef idx="3">
                          <a:schemeClr val="accent1"/>
                        </a:fillRef>
                        <a:effectRef idx="2">
                          <a:schemeClr val="accent1"/>
                        </a:effectRef>
                        <a:fontRef idx="minor">
                          <a:schemeClr val="lt1"/>
                        </a:fontRef>
                      </a:style>
                    </a:sp>
                    <a:sp>
                      <a:nvSpPr>
                        <a:cNvPr id="19" name="Rectangle 18"/>
                        <a:cNvSpPr/>
                      </a:nvSpPr>
                      <a:spPr>
                        <a:xfrm>
                          <a:off x="2763291" y="4518191"/>
                          <a:ext cx="1680382" cy="917409"/>
                        </a:xfrm>
                        <a:prstGeom prst="rect">
                          <a:avLst/>
                        </a:prstGeom>
                        <a:solidFill>
                          <a:schemeClr val="tx2">
                            <a:lumMod val="60000"/>
                            <a:lumOff val="40000"/>
                          </a:schemeClr>
                        </a:solidFill>
                        <a:ln>
                          <a:solidFill>
                            <a:schemeClr val="tx1"/>
                          </a:solidFill>
                        </a:ln>
                        <a:effectLst/>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sz="1200" dirty="0" smtClean="0">
                                <a:latin typeface="Arial"/>
                                <a:cs typeface="Arial"/>
                              </a:rPr>
                              <a:t>6 months F/T Core CCT</a:t>
                            </a:r>
                            <a:endParaRPr lang="en-US" sz="1200" dirty="0">
                              <a:latin typeface="Arial"/>
                              <a:cs typeface="Arial"/>
                            </a:endParaRPr>
                          </a:p>
                        </a:txBody>
                        <a:useSpRect/>
                      </a:txSp>
                      <a:style>
                        <a:lnRef idx="1">
                          <a:schemeClr val="accent1"/>
                        </a:lnRef>
                        <a:fillRef idx="3">
                          <a:schemeClr val="accent1"/>
                        </a:fillRef>
                        <a:effectRef idx="2">
                          <a:schemeClr val="accent1"/>
                        </a:effectRef>
                        <a:fontRef idx="minor">
                          <a:schemeClr val="lt1"/>
                        </a:fontRef>
                      </a:style>
                    </a:sp>
                    <a:sp>
                      <a:nvSpPr>
                        <a:cNvPr id="20" name="Rectangle 19"/>
                        <a:cNvSpPr/>
                      </a:nvSpPr>
                      <a:spPr>
                        <a:xfrm>
                          <a:off x="4501864" y="4518191"/>
                          <a:ext cx="1680382" cy="917409"/>
                        </a:xfrm>
                        <a:prstGeom prst="rect">
                          <a:avLst/>
                        </a:prstGeom>
                        <a:solidFill>
                          <a:schemeClr val="tx2">
                            <a:lumMod val="60000"/>
                            <a:lumOff val="40000"/>
                          </a:schemeClr>
                        </a:solidFill>
                        <a:ln>
                          <a:solidFill>
                            <a:schemeClr val="tx1"/>
                          </a:solidFill>
                        </a:ln>
                        <a:effectLst/>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sz="1200" dirty="0" smtClean="0">
                                <a:latin typeface="Arial"/>
                                <a:cs typeface="Arial"/>
                              </a:rPr>
                              <a:t>6 months F/T PHEM phase 2 post</a:t>
                            </a:r>
                            <a:endParaRPr lang="en-US" sz="1200" dirty="0">
                              <a:latin typeface="Arial"/>
                              <a:cs typeface="Arial"/>
                            </a:endParaRPr>
                          </a:p>
                        </a:txBody>
                        <a:useSpRect/>
                      </a:txSp>
                      <a:style>
                        <a:lnRef idx="1">
                          <a:schemeClr val="accent1"/>
                        </a:lnRef>
                        <a:fillRef idx="3">
                          <a:schemeClr val="accent1"/>
                        </a:fillRef>
                        <a:effectRef idx="2">
                          <a:schemeClr val="accent1"/>
                        </a:effectRef>
                        <a:fontRef idx="minor">
                          <a:schemeClr val="lt1"/>
                        </a:fontRef>
                      </a:style>
                    </a:sp>
                    <a:sp>
                      <a:nvSpPr>
                        <a:cNvPr id="21" name="Rectangle 20"/>
                        <a:cNvSpPr/>
                      </a:nvSpPr>
                      <a:spPr>
                        <a:xfrm>
                          <a:off x="6240436" y="4518191"/>
                          <a:ext cx="1680382" cy="917409"/>
                        </a:xfrm>
                        <a:prstGeom prst="rect">
                          <a:avLst/>
                        </a:prstGeom>
                        <a:solidFill>
                          <a:schemeClr val="tx2">
                            <a:lumMod val="60000"/>
                            <a:lumOff val="40000"/>
                          </a:schemeClr>
                        </a:solidFill>
                        <a:ln>
                          <a:solidFill>
                            <a:schemeClr val="tx1"/>
                          </a:solidFill>
                        </a:ln>
                        <a:effectLst/>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sz="1200" dirty="0" smtClean="0">
                                <a:latin typeface="Arial"/>
                                <a:cs typeface="Arial"/>
                              </a:rPr>
                              <a:t>6 months F/T Core CCT</a:t>
                            </a:r>
                            <a:endParaRPr lang="en-US" sz="1200" dirty="0">
                              <a:latin typeface="Arial"/>
                              <a:cs typeface="Arial"/>
                            </a:endParaRPr>
                          </a:p>
                        </a:txBody>
                        <a:useSpRect/>
                      </a:txSp>
                      <a:style>
                        <a:lnRef idx="1">
                          <a:schemeClr val="accent1"/>
                        </a:lnRef>
                        <a:fillRef idx="3">
                          <a:schemeClr val="accent1"/>
                        </a:fillRef>
                        <a:effectRef idx="2">
                          <a:schemeClr val="accent1"/>
                        </a:effectRef>
                        <a:fontRef idx="minor">
                          <a:schemeClr val="lt1"/>
                        </a:fontRef>
                      </a:style>
                    </a:sp>
                    <a:sp>
                      <a:nvSpPr>
                        <a:cNvPr id="22" name="TextBox 21"/>
                        <a:cNvSpPr txBox="1"/>
                      </a:nvSpPr>
                      <a:spPr>
                        <a:xfrm>
                          <a:off x="1364161" y="2534470"/>
                          <a:ext cx="6242614" cy="523220"/>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400" dirty="0" smtClean="0">
                                <a:latin typeface="Arial"/>
                                <a:cs typeface="Arial"/>
                              </a:rPr>
                              <a:t>Scheme </a:t>
                            </a:r>
                            <a:r>
                              <a:rPr lang="en-US" sz="1400" dirty="0" smtClean="0">
                                <a:latin typeface="Arial"/>
                                <a:cs typeface="Arial"/>
                              </a:rPr>
                              <a:t>A</a:t>
                            </a:r>
                            <a:r>
                              <a:rPr lang="en-US" sz="1400" dirty="0" smtClean="0">
                                <a:latin typeface="Arial"/>
                                <a:cs typeface="Arial"/>
                              </a:rPr>
                              <a:t> – Blending of </a:t>
                            </a:r>
                            <a:r>
                              <a:rPr lang="en-US" sz="1400" dirty="0" smtClean="0">
                                <a:latin typeface="Arial"/>
                                <a:cs typeface="Arial"/>
                              </a:rPr>
                              <a:t>12 months PHEM training into extended core ST5/6</a:t>
                            </a:r>
                          </a:p>
                          <a:p>
                            <a:r>
                              <a:rPr lang="en-US" sz="1400" dirty="0" smtClean="0">
                                <a:latin typeface="Arial"/>
                                <a:cs typeface="Arial"/>
                              </a:rPr>
                              <a:t>  </a:t>
                            </a:r>
                            <a:endParaRPr lang="en-US" sz="1400" dirty="0">
                              <a:latin typeface="Arial"/>
                              <a:cs typeface="Arial"/>
                            </a:endParaRPr>
                          </a:p>
                        </a:txBody>
                        <a:useSpRect/>
                      </a:txSp>
                    </a:sp>
                    <a:sp>
                      <a:nvSpPr>
                        <a:cNvPr id="23" name="TextBox 22"/>
                        <a:cNvSpPr txBox="1"/>
                      </a:nvSpPr>
                      <a:spPr>
                        <a:xfrm>
                          <a:off x="1380557" y="4089399"/>
                          <a:ext cx="6078858" cy="523220"/>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400" dirty="0" smtClean="0">
                                <a:latin typeface="Arial"/>
                                <a:cs typeface="Arial"/>
                              </a:rPr>
                              <a:t>Scheme B – Alternating of 6 </a:t>
                            </a:r>
                            <a:r>
                              <a:rPr lang="en-US" sz="1400" dirty="0" smtClean="0">
                                <a:latin typeface="Arial"/>
                                <a:cs typeface="Arial"/>
                              </a:rPr>
                              <a:t>months PHEM training</a:t>
                            </a:r>
                            <a:r>
                              <a:rPr lang="en-US" sz="1400" dirty="0" smtClean="0">
                                <a:latin typeface="Arial"/>
                                <a:cs typeface="Arial"/>
                              </a:rPr>
                              <a:t> with </a:t>
                            </a:r>
                            <a:r>
                              <a:rPr lang="en-US" sz="1400" dirty="0" smtClean="0">
                                <a:latin typeface="Arial"/>
                                <a:cs typeface="Arial"/>
                              </a:rPr>
                              <a:t>core</a:t>
                            </a:r>
                            <a:r>
                              <a:rPr lang="en-US" sz="1400" dirty="0" smtClean="0">
                                <a:latin typeface="Arial"/>
                                <a:cs typeface="Arial"/>
                              </a:rPr>
                              <a:t> CCT training</a:t>
                            </a:r>
                          </a:p>
                          <a:p>
                            <a:r>
                              <a:rPr lang="en-US" sz="1400" dirty="0" smtClean="0">
                                <a:latin typeface="Arial"/>
                                <a:cs typeface="Arial"/>
                              </a:rPr>
                              <a:t>  </a:t>
                            </a:r>
                            <a:endParaRPr lang="en-US" sz="1400" dirty="0">
                              <a:latin typeface="Arial"/>
                              <a:cs typeface="Arial"/>
                            </a:endParaRPr>
                          </a:p>
                        </a:txBody>
                        <a:useSpRect/>
                      </a:txSp>
                    </a:sp>
                  </a:grpSp>
                </lc:lockedCanvas>
              </a:graphicData>
            </a:graphic>
          </wp:inline>
        </w:drawing>
      </w:r>
    </w:p>
    <w:p w:rsidR="00541AF3" w:rsidRDefault="00541AF3" w:rsidP="00244C61">
      <w:pPr>
        <w:pStyle w:val="ListParagraph"/>
        <w:spacing w:after="0"/>
        <w:ind w:left="0"/>
        <w:jc w:val="center"/>
        <w:rPr>
          <w:rFonts w:ascii="Arial" w:hAnsi="Arial" w:cs="Arial"/>
          <w:noProof/>
          <w:sz w:val="22"/>
        </w:rPr>
      </w:pPr>
    </w:p>
    <w:p w:rsidR="00541AF3" w:rsidRDefault="00541AF3" w:rsidP="00244C61">
      <w:pPr>
        <w:pStyle w:val="ListParagraph"/>
        <w:spacing w:after="0"/>
        <w:ind w:left="0"/>
        <w:jc w:val="center"/>
        <w:rPr>
          <w:rFonts w:ascii="Arial" w:hAnsi="Arial" w:cs="Arial"/>
          <w:i/>
          <w:sz w:val="20"/>
        </w:rPr>
      </w:pPr>
      <w:r w:rsidRPr="004471D5">
        <w:rPr>
          <w:rFonts w:ascii="Arial" w:hAnsi="Arial" w:cs="Arial"/>
          <w:i/>
          <w:sz w:val="20"/>
        </w:rPr>
        <w:t xml:space="preserve">Figure </w:t>
      </w:r>
      <w:r>
        <w:rPr>
          <w:rFonts w:ascii="Arial" w:hAnsi="Arial" w:cs="Arial"/>
          <w:i/>
          <w:sz w:val="20"/>
        </w:rPr>
        <w:t>3.</w:t>
      </w:r>
      <w:r w:rsidRPr="004471D5">
        <w:rPr>
          <w:rFonts w:ascii="Arial" w:hAnsi="Arial" w:cs="Arial"/>
          <w:i/>
          <w:sz w:val="20"/>
        </w:rPr>
        <w:t xml:space="preserve"> Diagrammatic</w:t>
      </w:r>
      <w:r>
        <w:rPr>
          <w:rFonts w:ascii="Arial" w:hAnsi="Arial" w:cs="Arial"/>
          <w:i/>
          <w:sz w:val="20"/>
        </w:rPr>
        <w:t xml:space="preserve"> representation of Scheme A and B training programmes</w:t>
      </w:r>
    </w:p>
    <w:p w:rsidR="00541AF3" w:rsidRDefault="00541AF3" w:rsidP="00244C61">
      <w:pPr>
        <w:pStyle w:val="ListParagraph"/>
        <w:spacing w:after="0"/>
        <w:ind w:left="0"/>
        <w:jc w:val="both"/>
        <w:rPr>
          <w:rFonts w:ascii="Arial" w:hAnsi="Arial" w:cs="Arial"/>
          <w:sz w:val="22"/>
        </w:rPr>
      </w:pPr>
    </w:p>
    <w:p w:rsidR="00541AF3" w:rsidRDefault="00DC3E35" w:rsidP="00244C61">
      <w:pPr>
        <w:pStyle w:val="ListParagraph"/>
        <w:spacing w:after="0"/>
        <w:ind w:left="0"/>
        <w:jc w:val="center"/>
        <w:rPr>
          <w:rFonts w:ascii="Arial" w:hAnsi="Arial" w:cs="Arial"/>
          <w:sz w:val="22"/>
        </w:rPr>
      </w:pPr>
      <w:r>
        <w:rPr>
          <w:rFonts w:ascii="Arial" w:hAnsi="Arial" w:cs="Arial"/>
          <w:noProof/>
          <w:sz w:val="22"/>
          <w:lang w:val="en-GB" w:eastAsia="en-GB"/>
        </w:rPr>
        <w:drawing>
          <wp:inline distT="0" distB="0" distL="0" distR="0">
            <wp:extent cx="3348990" cy="3296285"/>
            <wp:effectExtent l="0" t="0" r="0" b="0"/>
            <wp:docPr id="4" name="O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18956" cy="3293162"/>
                      <a:chOff x="2763291" y="796237"/>
                      <a:chExt cx="3418956" cy="3293162"/>
                    </a:xfrm>
                  </a:grpSpPr>
                  <a:grpSp>
                    <a:nvGrpSpPr>
                      <a:cNvPr id="10" name="Group 9"/>
                      <a:cNvGrpSpPr/>
                    </a:nvGrpSpPr>
                    <a:grpSpPr>
                      <a:xfrm>
                        <a:off x="2763291" y="796237"/>
                        <a:ext cx="3418956" cy="3293162"/>
                        <a:chOff x="2763291" y="796237"/>
                        <a:chExt cx="3418956" cy="3293162"/>
                      </a:xfrm>
                    </a:grpSpPr>
                    <a:sp>
                      <a:nvSpPr>
                        <a:cNvPr id="4" name="Isosceles Triangle 3"/>
                        <a:cNvSpPr/>
                      </a:nvSpPr>
                      <a:spPr>
                        <a:xfrm>
                          <a:off x="2763291" y="1177346"/>
                          <a:ext cx="3418956" cy="1190682"/>
                        </a:xfrm>
                        <a:prstGeom prst="triangle">
                          <a:avLst>
                            <a:gd name="adj" fmla="val 50629"/>
                          </a:avLst>
                        </a:prstGeom>
                        <a:solidFill>
                          <a:schemeClr val="bg2">
                            <a:lumMod val="75000"/>
                          </a:schemeClr>
                        </a:solidFill>
                        <a:ln>
                          <a:solidFill>
                            <a:schemeClr val="tx1"/>
                          </a:solidFill>
                          <a:prstDash val="sysDot"/>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sz="1600">
                              <a:latin typeface="Arial"/>
                              <a:cs typeface="Arial"/>
                            </a:endParaRPr>
                          </a:p>
                        </a:txBody>
                        <a:useSpRect/>
                      </a:txSp>
                      <a:style>
                        <a:lnRef idx="1">
                          <a:schemeClr val="accent1"/>
                        </a:lnRef>
                        <a:fillRef idx="3">
                          <a:schemeClr val="accent1"/>
                        </a:fillRef>
                        <a:effectRef idx="2">
                          <a:schemeClr val="accent1"/>
                        </a:effectRef>
                        <a:fontRef idx="minor">
                          <a:schemeClr val="lt1"/>
                        </a:fontRef>
                      </a:style>
                    </a:sp>
                    <a:sp>
                      <a:nvSpPr>
                        <a:cNvPr id="5" name="Rounded Rectangle 4"/>
                        <a:cNvSpPr/>
                      </a:nvSpPr>
                      <a:spPr>
                        <a:xfrm>
                          <a:off x="3363863" y="796237"/>
                          <a:ext cx="2269078" cy="1006382"/>
                        </a:xfrm>
                        <a:prstGeom prst="roundRect">
                          <a:avLst/>
                        </a:prstGeom>
                        <a:solidFill>
                          <a:srgbClr val="FF6600"/>
                        </a:solidFill>
                        <a:ln>
                          <a:solidFill>
                            <a:srgbClr val="000000"/>
                          </a:solidFill>
                        </a:ln>
                        <a:scene3d>
                          <a:camera prst="perspectiveFront"/>
                          <a:lightRig rig="threePt" dir="t"/>
                        </a:scene3d>
                        <a:sp3d>
                          <a:bevelT w="165100" prst="coolSlant"/>
                        </a:sp3d>
                      </a:spPr>
                      <a:txSp>
                        <a:txBody>
                          <a:bodyPr lIns="91430" tIns="45716" rIns="91430" bIns="45716"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defTabSz="457154" fontAlgn="base">
                              <a:spcBef>
                                <a:spcPct val="0"/>
                              </a:spcBef>
                              <a:spcAft>
                                <a:spcPct val="0"/>
                              </a:spcAft>
                              <a:defRPr/>
                            </a:pPr>
                            <a:endParaRPr lang="en-US" sz="1100" dirty="0">
                              <a:solidFill>
                                <a:prstClr val="white"/>
                              </a:solidFill>
                              <a:latin typeface="Arial"/>
                              <a:cs typeface="Arial"/>
                            </a:endParaRPr>
                          </a:p>
                        </a:txBody>
                        <a:useSpRect/>
                      </a:txSp>
                      <a:style>
                        <a:lnRef idx="1">
                          <a:schemeClr val="accent1"/>
                        </a:lnRef>
                        <a:fillRef idx="3">
                          <a:schemeClr val="accent1"/>
                        </a:fillRef>
                        <a:effectRef idx="2">
                          <a:schemeClr val="accent1"/>
                        </a:effectRef>
                        <a:fontRef idx="minor">
                          <a:schemeClr val="lt1"/>
                        </a:fontRef>
                      </a:style>
                    </a:sp>
                    <a:sp>
                      <a:nvSpPr>
                        <a:cNvPr id="6" name="Rounded Rectangle 5"/>
                        <a:cNvSpPr/>
                      </a:nvSpPr>
                      <a:spPr>
                        <a:xfrm>
                          <a:off x="3559222" y="1114001"/>
                          <a:ext cx="1828437" cy="370855"/>
                        </a:xfrm>
                        <a:prstGeom prst="roundRect">
                          <a:avLst/>
                        </a:prstGeom>
                        <a:solidFill>
                          <a:schemeClr val="bg2">
                            <a:lumMod val="75000"/>
                          </a:schemeClr>
                        </a:solidFill>
                        <a:ln>
                          <a:solidFill>
                            <a:schemeClr val="accent2">
                              <a:lumMod val="75000"/>
                            </a:schemeClr>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sz="1100" dirty="0" smtClean="0">
                                <a:solidFill>
                                  <a:schemeClr val="tx1"/>
                                </a:solidFill>
                                <a:latin typeface="Arial"/>
                                <a:cs typeface="Arial"/>
                              </a:rPr>
                              <a:t>12 months </a:t>
                            </a:r>
                            <a:r>
                              <a:rPr lang="en-US" sz="1100" dirty="0" smtClean="0">
                                <a:solidFill>
                                  <a:schemeClr val="tx1"/>
                                </a:solidFill>
                                <a:latin typeface="Arial"/>
                                <a:cs typeface="Arial"/>
                              </a:rPr>
                              <a:t>WTE </a:t>
                            </a:r>
                          </a:p>
                          <a:p>
                            <a:pPr algn="ctr"/>
                            <a:r>
                              <a:rPr lang="en-US" sz="1100" dirty="0" smtClean="0">
                                <a:solidFill>
                                  <a:schemeClr val="tx1"/>
                                </a:solidFill>
                                <a:latin typeface="Arial"/>
                                <a:cs typeface="Arial"/>
                              </a:rPr>
                              <a:t>over 12 months</a:t>
                            </a:r>
                            <a:endParaRPr lang="en-US" sz="1100" dirty="0">
                              <a:solidFill>
                                <a:schemeClr val="tx1"/>
                              </a:solidFill>
                              <a:latin typeface="Arial"/>
                              <a:cs typeface="Arial"/>
                            </a:endParaRPr>
                          </a:p>
                        </a:txBody>
                        <a:useSpRect/>
                      </a:txSp>
                      <a:style>
                        <a:lnRef idx="1">
                          <a:schemeClr val="accent1"/>
                        </a:lnRef>
                        <a:fillRef idx="3">
                          <a:schemeClr val="accent1"/>
                        </a:fillRef>
                        <a:effectRef idx="2">
                          <a:schemeClr val="accent1"/>
                        </a:effectRef>
                        <a:fontRef idx="minor">
                          <a:schemeClr val="lt1"/>
                        </a:fontRef>
                      </a:style>
                    </a:sp>
                    <a:sp>
                      <a:nvSpPr>
                        <a:cNvPr id="7" name="Rectangle 6"/>
                        <a:cNvSpPr/>
                      </a:nvSpPr>
                      <a:spPr>
                        <a:xfrm>
                          <a:off x="2763291" y="3171990"/>
                          <a:ext cx="1680382" cy="917409"/>
                        </a:xfrm>
                        <a:prstGeom prst="rect">
                          <a:avLst/>
                        </a:prstGeom>
                        <a:solidFill>
                          <a:schemeClr val="tx2">
                            <a:lumMod val="60000"/>
                            <a:lumOff val="40000"/>
                          </a:schemeClr>
                        </a:solidFill>
                        <a:ln>
                          <a:solidFill>
                            <a:schemeClr val="tx1"/>
                          </a:solidFill>
                        </a:ln>
                        <a:effectLst/>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sz="1200" dirty="0" smtClean="0">
                                <a:latin typeface="Arial"/>
                                <a:cs typeface="Arial"/>
                              </a:rPr>
                              <a:t>6 months F/T PHEM phase 1 post</a:t>
                            </a:r>
                            <a:endParaRPr lang="en-US" sz="1200" dirty="0">
                              <a:latin typeface="Arial"/>
                              <a:cs typeface="Arial"/>
                            </a:endParaRPr>
                          </a:p>
                        </a:txBody>
                        <a:useSpRect/>
                      </a:txSp>
                      <a:style>
                        <a:lnRef idx="1">
                          <a:schemeClr val="accent1"/>
                        </a:lnRef>
                        <a:fillRef idx="3">
                          <a:schemeClr val="accent1"/>
                        </a:fillRef>
                        <a:effectRef idx="2">
                          <a:schemeClr val="accent1"/>
                        </a:effectRef>
                        <a:fontRef idx="minor">
                          <a:schemeClr val="lt1"/>
                        </a:fontRef>
                      </a:style>
                    </a:sp>
                    <a:sp>
                      <a:nvSpPr>
                        <a:cNvPr id="8" name="Rectangle 7"/>
                        <a:cNvSpPr/>
                      </a:nvSpPr>
                      <a:spPr>
                        <a:xfrm>
                          <a:off x="4501864" y="3171990"/>
                          <a:ext cx="1680382" cy="917409"/>
                        </a:xfrm>
                        <a:prstGeom prst="rect">
                          <a:avLst/>
                        </a:prstGeom>
                        <a:solidFill>
                          <a:schemeClr val="tx2">
                            <a:lumMod val="60000"/>
                            <a:lumOff val="40000"/>
                          </a:schemeClr>
                        </a:solidFill>
                        <a:ln>
                          <a:solidFill>
                            <a:schemeClr val="tx1"/>
                          </a:solidFill>
                        </a:ln>
                        <a:effectLst/>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sz="1200" dirty="0" smtClean="0">
                                <a:latin typeface="Arial"/>
                                <a:cs typeface="Arial"/>
                              </a:rPr>
                              <a:t>6 months F/T PHEM phase 2 post</a:t>
                            </a:r>
                            <a:endParaRPr lang="en-US" sz="1200" dirty="0">
                              <a:latin typeface="Arial"/>
                              <a:cs typeface="Arial"/>
                            </a:endParaRPr>
                          </a:p>
                        </a:txBody>
                        <a:useSpRect/>
                      </a:txSp>
                      <a:style>
                        <a:lnRef idx="1">
                          <a:schemeClr val="accent1"/>
                        </a:lnRef>
                        <a:fillRef idx="3">
                          <a:schemeClr val="accent1"/>
                        </a:fillRef>
                        <a:effectRef idx="2">
                          <a:schemeClr val="accent1"/>
                        </a:effectRef>
                        <a:fontRef idx="minor">
                          <a:schemeClr val="lt1"/>
                        </a:fontRef>
                      </a:style>
                    </a:sp>
                    <a:sp>
                      <a:nvSpPr>
                        <a:cNvPr id="9" name="TextBox 8"/>
                        <a:cNvSpPr txBox="1"/>
                      </a:nvSpPr>
                      <a:spPr>
                        <a:xfrm>
                          <a:off x="2763291" y="2534470"/>
                          <a:ext cx="3418955" cy="707886"/>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400" dirty="0" smtClean="0">
                                <a:latin typeface="Arial"/>
                                <a:cs typeface="Arial"/>
                              </a:rPr>
                              <a:t>Scheme C </a:t>
                            </a:r>
                            <a:r>
                              <a:rPr lang="en-US" sz="1400" dirty="0" smtClean="0">
                                <a:latin typeface="Arial"/>
                                <a:cs typeface="Arial"/>
                              </a:rPr>
                              <a:t>– Addition of 12 months PHEM at ST5/6/7 or post core </a:t>
                            </a:r>
                            <a:r>
                              <a:rPr lang="en-US" sz="1400" dirty="0" smtClean="0">
                                <a:latin typeface="Arial"/>
                                <a:cs typeface="Arial"/>
                              </a:rPr>
                              <a:t>CCT</a:t>
                            </a:r>
                          </a:p>
                          <a:p>
                            <a:pPr algn="ctr"/>
                            <a:r>
                              <a:rPr lang="en-US" sz="1200" dirty="0" smtClean="0">
                                <a:latin typeface="Arial"/>
                                <a:cs typeface="Arial"/>
                              </a:rPr>
                              <a:t>  </a:t>
                            </a:r>
                            <a:endParaRPr lang="en-US" sz="1200" dirty="0">
                              <a:latin typeface="Arial"/>
                              <a:cs typeface="Arial"/>
                            </a:endParaRPr>
                          </a:p>
                        </a:txBody>
                        <a:useSpRect/>
                      </a:txSp>
                    </a:sp>
                  </a:grpSp>
                </lc:lockedCanvas>
              </a:graphicData>
            </a:graphic>
          </wp:inline>
        </w:drawing>
      </w:r>
    </w:p>
    <w:p w:rsidR="00541AF3" w:rsidRDefault="00541AF3" w:rsidP="00244C61">
      <w:pPr>
        <w:pStyle w:val="ListParagraph"/>
        <w:spacing w:after="0"/>
        <w:ind w:left="0"/>
        <w:jc w:val="both"/>
        <w:rPr>
          <w:rFonts w:ascii="Arial" w:hAnsi="Arial" w:cs="Arial"/>
          <w:sz w:val="22"/>
        </w:rPr>
      </w:pPr>
    </w:p>
    <w:p w:rsidR="00541AF3" w:rsidRDefault="00541AF3" w:rsidP="00244C61">
      <w:pPr>
        <w:pStyle w:val="ListParagraph"/>
        <w:spacing w:after="0"/>
        <w:ind w:left="0"/>
        <w:jc w:val="both"/>
        <w:rPr>
          <w:rFonts w:ascii="Arial" w:hAnsi="Arial" w:cs="Arial"/>
          <w:sz w:val="22"/>
        </w:rPr>
      </w:pPr>
    </w:p>
    <w:p w:rsidR="00541AF3" w:rsidRDefault="00541AF3" w:rsidP="00244C61">
      <w:pPr>
        <w:pStyle w:val="ListParagraph"/>
        <w:spacing w:after="0"/>
        <w:ind w:left="0"/>
        <w:jc w:val="center"/>
        <w:rPr>
          <w:rFonts w:ascii="Arial" w:hAnsi="Arial" w:cs="Arial"/>
          <w:sz w:val="22"/>
        </w:rPr>
      </w:pPr>
      <w:r>
        <w:rPr>
          <w:rFonts w:ascii="Arial" w:hAnsi="Arial" w:cs="Arial"/>
          <w:i/>
          <w:sz w:val="20"/>
        </w:rPr>
        <w:t>Figure 4.</w:t>
      </w:r>
      <w:r w:rsidRPr="000E597A">
        <w:rPr>
          <w:rFonts w:ascii="Arial" w:hAnsi="Arial" w:cs="Arial"/>
          <w:i/>
          <w:sz w:val="20"/>
        </w:rPr>
        <w:t xml:space="preserve"> Diagrammatic</w:t>
      </w:r>
      <w:r>
        <w:rPr>
          <w:rFonts w:ascii="Arial" w:hAnsi="Arial" w:cs="Arial"/>
          <w:i/>
          <w:sz w:val="20"/>
        </w:rPr>
        <w:t xml:space="preserve"> representation of Scheme C</w:t>
      </w:r>
      <w:r w:rsidRPr="000E597A">
        <w:rPr>
          <w:rFonts w:ascii="Arial" w:hAnsi="Arial" w:cs="Arial"/>
          <w:i/>
          <w:sz w:val="20"/>
        </w:rPr>
        <w:t xml:space="preserve"> training programme</w:t>
      </w:r>
    </w:p>
    <w:p w:rsidR="00541AF3" w:rsidRDefault="00541AF3" w:rsidP="00244C61">
      <w:pPr>
        <w:spacing w:after="0"/>
        <w:rPr>
          <w:rFonts w:ascii="Arial" w:hAnsi="Arial" w:cs="Arial"/>
          <w:sz w:val="22"/>
        </w:rPr>
      </w:pPr>
    </w:p>
    <w:p w:rsidR="00541AF3" w:rsidRPr="00244C61" w:rsidRDefault="00541AF3" w:rsidP="00D058D4">
      <w:pPr>
        <w:spacing w:after="0"/>
        <w:jc w:val="both"/>
        <w:rPr>
          <w:rFonts w:ascii="Arial" w:hAnsi="Arial" w:cs="Arial"/>
          <w:sz w:val="22"/>
        </w:rPr>
      </w:pPr>
      <w:r>
        <w:rPr>
          <w:rFonts w:ascii="Arial" w:hAnsi="Arial" w:cs="Arial"/>
          <w:sz w:val="22"/>
        </w:rPr>
        <w:t xml:space="preserve">4.5 </w:t>
      </w:r>
      <w:r w:rsidRPr="00244C61">
        <w:rPr>
          <w:rFonts w:ascii="Arial" w:hAnsi="Arial" w:cs="Arial"/>
          <w:sz w:val="22"/>
        </w:rPr>
        <w:t xml:space="preserve">Recruitment will be managed nationally on an annual basis through a lead Deanery (currently the East of England Multi-professional Deanery) and a grid scheme. The grid scheme recognises that not all regions will be able to deliver sub-specialty training and aims to: </w:t>
      </w:r>
    </w:p>
    <w:p w:rsidR="00541AF3" w:rsidRPr="00244C61" w:rsidRDefault="00541AF3" w:rsidP="00244C61">
      <w:pPr>
        <w:pStyle w:val="ListParagraph"/>
        <w:numPr>
          <w:ilvl w:val="0"/>
          <w:numId w:val="6"/>
        </w:numPr>
        <w:jc w:val="both"/>
        <w:rPr>
          <w:rFonts w:ascii="Arial" w:hAnsi="Arial" w:cs="Arial"/>
          <w:sz w:val="22"/>
        </w:rPr>
      </w:pPr>
      <w:r w:rsidRPr="00244C61">
        <w:rPr>
          <w:rFonts w:ascii="Arial" w:hAnsi="Arial" w:cs="Arial"/>
          <w:sz w:val="22"/>
        </w:rPr>
        <w:t xml:space="preserve">provide equity of access to approved training programmes </w:t>
      </w:r>
    </w:p>
    <w:p w:rsidR="00541AF3" w:rsidRPr="00244C61" w:rsidRDefault="00541AF3" w:rsidP="00244C61">
      <w:pPr>
        <w:pStyle w:val="ListParagraph"/>
        <w:numPr>
          <w:ilvl w:val="0"/>
          <w:numId w:val="6"/>
        </w:numPr>
        <w:jc w:val="both"/>
        <w:rPr>
          <w:rFonts w:ascii="Arial" w:hAnsi="Arial" w:cs="Arial"/>
          <w:sz w:val="22"/>
        </w:rPr>
      </w:pPr>
      <w:r w:rsidRPr="00244C61">
        <w:rPr>
          <w:rFonts w:ascii="Arial" w:hAnsi="Arial" w:cs="Arial"/>
          <w:sz w:val="22"/>
        </w:rPr>
        <w:t xml:space="preserve">foster fair, criterion-referenced and competitive entry to programmes </w:t>
      </w:r>
    </w:p>
    <w:p w:rsidR="00541AF3" w:rsidRPr="00244C61" w:rsidRDefault="00541AF3" w:rsidP="00244C61">
      <w:pPr>
        <w:pStyle w:val="ListParagraph"/>
        <w:numPr>
          <w:ilvl w:val="0"/>
          <w:numId w:val="6"/>
        </w:numPr>
        <w:jc w:val="both"/>
        <w:rPr>
          <w:rFonts w:ascii="Arial" w:hAnsi="Arial" w:cs="Arial"/>
          <w:sz w:val="22"/>
        </w:rPr>
      </w:pPr>
      <w:r w:rsidRPr="00244C61">
        <w:rPr>
          <w:rFonts w:ascii="Arial" w:hAnsi="Arial" w:cs="Arial"/>
          <w:sz w:val="22"/>
        </w:rPr>
        <w:t xml:space="preserve">support quality management of training programmes </w:t>
      </w:r>
    </w:p>
    <w:p w:rsidR="00541AF3" w:rsidRPr="00244C61" w:rsidRDefault="00541AF3" w:rsidP="00244C61">
      <w:pPr>
        <w:pStyle w:val="ListParagraph"/>
        <w:numPr>
          <w:ilvl w:val="0"/>
          <w:numId w:val="6"/>
        </w:numPr>
        <w:jc w:val="both"/>
        <w:rPr>
          <w:rFonts w:ascii="Arial" w:hAnsi="Arial" w:cs="Arial"/>
          <w:sz w:val="22"/>
        </w:rPr>
      </w:pPr>
      <w:r w:rsidRPr="00244C61">
        <w:rPr>
          <w:rFonts w:ascii="Arial" w:hAnsi="Arial" w:cs="Arial"/>
          <w:sz w:val="22"/>
        </w:rPr>
        <w:t>guide workforce development and planning</w:t>
      </w:r>
    </w:p>
    <w:p w:rsidR="00541AF3" w:rsidRPr="00244C61" w:rsidRDefault="00541AF3" w:rsidP="00244C61">
      <w:pPr>
        <w:pStyle w:val="ListParagraph"/>
        <w:jc w:val="both"/>
        <w:rPr>
          <w:rFonts w:ascii="Arial" w:hAnsi="Arial" w:cs="Arial"/>
          <w:sz w:val="22"/>
        </w:rPr>
      </w:pPr>
      <w:r w:rsidRPr="00244C61">
        <w:rPr>
          <w:rFonts w:ascii="Arial" w:hAnsi="Arial" w:cs="Arial"/>
          <w:sz w:val="22"/>
        </w:rPr>
        <w:t xml:space="preserve"> </w:t>
      </w:r>
    </w:p>
    <w:p w:rsidR="00541AF3" w:rsidRDefault="00541AF3" w:rsidP="00D058D4">
      <w:pPr>
        <w:pStyle w:val="ListParagraph"/>
        <w:spacing w:after="0"/>
        <w:ind w:left="0"/>
        <w:jc w:val="both"/>
        <w:rPr>
          <w:rFonts w:ascii="Arial" w:hAnsi="Arial" w:cs="Arial"/>
          <w:sz w:val="22"/>
        </w:rPr>
      </w:pPr>
      <w:r>
        <w:rPr>
          <w:rFonts w:ascii="Arial" w:hAnsi="Arial" w:cs="Arial"/>
          <w:sz w:val="22"/>
        </w:rPr>
        <w:t xml:space="preserve">4.6 </w:t>
      </w:r>
      <w:r w:rsidRPr="00244C61">
        <w:rPr>
          <w:rFonts w:ascii="Arial" w:hAnsi="Arial" w:cs="Arial"/>
          <w:sz w:val="22"/>
        </w:rPr>
        <w:t>The IBTPHEM are currently developing supporting literature similar to that used for the paediatric grid process.</w:t>
      </w:r>
      <w:r w:rsidRPr="00244C61">
        <w:rPr>
          <w:rFonts w:ascii="Arial" w:hAnsi="Arial" w:cs="Arial"/>
          <w:sz w:val="22"/>
          <w:vertAlign w:val="superscript"/>
        </w:rPr>
        <w:footnoteReference w:id="12"/>
      </w:r>
      <w:r w:rsidRPr="00244C61">
        <w:rPr>
          <w:rFonts w:ascii="Arial" w:hAnsi="Arial" w:cs="Arial"/>
          <w:sz w:val="22"/>
        </w:rPr>
        <w:t xml:space="preserve"> It is anticipated that this material, and the supporting infrastructure, will be finalised in </w:t>
      </w:r>
      <w:r>
        <w:rPr>
          <w:rFonts w:ascii="Arial" w:hAnsi="Arial" w:cs="Arial"/>
          <w:sz w:val="22"/>
        </w:rPr>
        <w:t>late</w:t>
      </w:r>
      <w:r w:rsidRPr="00244C61">
        <w:rPr>
          <w:rFonts w:ascii="Arial" w:hAnsi="Arial" w:cs="Arial"/>
          <w:sz w:val="22"/>
        </w:rPr>
        <w:t xml:space="preserve"> 2011. It is also anticipated that the PHEM grid would be active for recruitment, pending approval of Deanery training programmes, LEPs and training posts, from early 2012 with a first intake of PHEM sub-specialty trainees in August 2012.</w:t>
      </w:r>
    </w:p>
    <w:p w:rsidR="00541AF3" w:rsidRDefault="00541AF3" w:rsidP="00244C61">
      <w:pPr>
        <w:pStyle w:val="ListParagraph"/>
        <w:spacing w:after="0"/>
        <w:ind w:left="0"/>
        <w:jc w:val="both"/>
        <w:rPr>
          <w:rFonts w:ascii="Arial" w:hAnsi="Arial" w:cs="Arial"/>
          <w:sz w:val="22"/>
        </w:rPr>
      </w:pPr>
    </w:p>
    <w:p w:rsidR="00541AF3" w:rsidRDefault="00541AF3" w:rsidP="00244C61">
      <w:pPr>
        <w:spacing w:after="0"/>
        <w:rPr>
          <w:rFonts w:ascii="Arial" w:hAnsi="Arial" w:cs="Arial"/>
          <w:sz w:val="22"/>
        </w:rPr>
      </w:pPr>
      <w:r>
        <w:rPr>
          <w:rFonts w:ascii="Arial" w:hAnsi="Arial" w:cs="Arial"/>
          <w:sz w:val="22"/>
        </w:rPr>
        <w:t>4.7 The requirements for entry to training can be summarised as follows:</w:t>
      </w:r>
    </w:p>
    <w:p w:rsidR="00541AF3" w:rsidRPr="00244C61" w:rsidRDefault="00541AF3" w:rsidP="00244C61">
      <w:pPr>
        <w:spacing w:after="0"/>
        <w:rPr>
          <w:rFonts w:ascii="Arial" w:hAnsi="Arial" w:cs="Arial"/>
          <w:sz w:val="22"/>
        </w:rPr>
      </w:pPr>
    </w:p>
    <w:p w:rsidR="00541AF3" w:rsidRPr="00244C61" w:rsidRDefault="00541AF3" w:rsidP="00244C61">
      <w:pPr>
        <w:pStyle w:val="ListParagraph"/>
        <w:numPr>
          <w:ilvl w:val="0"/>
          <w:numId w:val="7"/>
        </w:numPr>
        <w:rPr>
          <w:rFonts w:ascii="Arial" w:hAnsi="Arial" w:cs="Arial"/>
          <w:sz w:val="22"/>
        </w:rPr>
      </w:pPr>
      <w:r w:rsidRPr="00244C61">
        <w:rPr>
          <w:rFonts w:ascii="Arial" w:hAnsi="Arial" w:cs="Arial"/>
          <w:sz w:val="22"/>
        </w:rPr>
        <w:t>The earliest application for pre-CCT training is at ST3</w:t>
      </w:r>
    </w:p>
    <w:p w:rsidR="00541AF3" w:rsidRPr="00244C61" w:rsidRDefault="00541AF3" w:rsidP="00244C61">
      <w:pPr>
        <w:pStyle w:val="ListParagraph"/>
        <w:numPr>
          <w:ilvl w:val="0"/>
          <w:numId w:val="7"/>
        </w:numPr>
        <w:rPr>
          <w:rFonts w:ascii="Arial" w:hAnsi="Arial" w:cs="Arial"/>
          <w:sz w:val="22"/>
        </w:rPr>
      </w:pPr>
      <w:r w:rsidRPr="00244C61">
        <w:rPr>
          <w:rFonts w:ascii="Arial" w:hAnsi="Arial" w:cs="Arial"/>
          <w:sz w:val="22"/>
        </w:rPr>
        <w:t>The earliest commencement of PHEM sub-specialty training is at the end of ST4</w:t>
      </w:r>
    </w:p>
    <w:p w:rsidR="00541AF3" w:rsidRPr="00244C61" w:rsidRDefault="00541AF3" w:rsidP="00244C61">
      <w:pPr>
        <w:pStyle w:val="ListParagraph"/>
        <w:numPr>
          <w:ilvl w:val="0"/>
          <w:numId w:val="7"/>
        </w:numPr>
        <w:rPr>
          <w:rFonts w:ascii="Arial" w:hAnsi="Arial" w:cs="Arial"/>
          <w:sz w:val="22"/>
        </w:rPr>
      </w:pPr>
      <w:r w:rsidRPr="00244C61">
        <w:rPr>
          <w:rFonts w:ascii="Arial" w:hAnsi="Arial" w:cs="Arial"/>
          <w:sz w:val="22"/>
        </w:rPr>
        <w:t xml:space="preserve">Applicants must have been awarded core specialty NTN for Emergency Medicine </w:t>
      </w:r>
    </w:p>
    <w:p w:rsidR="00541AF3" w:rsidRPr="00244C61" w:rsidRDefault="00541AF3" w:rsidP="00244C61">
      <w:pPr>
        <w:pStyle w:val="ListParagraph"/>
        <w:ind w:left="0"/>
        <w:rPr>
          <w:rFonts w:ascii="Arial" w:hAnsi="Arial" w:cs="Arial"/>
          <w:sz w:val="22"/>
        </w:rPr>
      </w:pPr>
      <w:r w:rsidRPr="00244C61">
        <w:rPr>
          <w:rFonts w:ascii="Arial" w:hAnsi="Arial" w:cs="Arial"/>
          <w:sz w:val="22"/>
        </w:rPr>
        <w:tab/>
        <w:t>or Anaesthetics</w:t>
      </w:r>
    </w:p>
    <w:p w:rsidR="00541AF3" w:rsidRDefault="00541AF3" w:rsidP="00244C61">
      <w:pPr>
        <w:pStyle w:val="ListParagraph"/>
        <w:numPr>
          <w:ilvl w:val="0"/>
          <w:numId w:val="7"/>
        </w:numPr>
        <w:rPr>
          <w:rFonts w:ascii="Arial" w:hAnsi="Arial" w:cs="Arial"/>
          <w:sz w:val="22"/>
        </w:rPr>
      </w:pPr>
      <w:r w:rsidRPr="00244C61">
        <w:rPr>
          <w:rFonts w:ascii="Arial" w:hAnsi="Arial" w:cs="Arial"/>
          <w:sz w:val="22"/>
        </w:rPr>
        <w:t>Applicants must have MCEM or primary FRCA or equivalent </w:t>
      </w:r>
    </w:p>
    <w:p w:rsidR="00541AF3" w:rsidRPr="00244C61" w:rsidRDefault="00541AF3" w:rsidP="00244C61">
      <w:pPr>
        <w:pStyle w:val="ListParagraph"/>
        <w:numPr>
          <w:ilvl w:val="0"/>
          <w:numId w:val="7"/>
        </w:numPr>
        <w:rPr>
          <w:rFonts w:ascii="Arial" w:hAnsi="Arial" w:cs="Arial"/>
          <w:sz w:val="22"/>
        </w:rPr>
      </w:pPr>
      <w:r w:rsidRPr="00244C61">
        <w:rPr>
          <w:rFonts w:ascii="Arial" w:hAnsi="Arial" w:cs="Arial"/>
          <w:sz w:val="22"/>
        </w:rPr>
        <w:t>Entry is conditional on successful ST4 ARCP</w:t>
      </w:r>
    </w:p>
    <w:p w:rsidR="00541AF3" w:rsidRDefault="00541AF3" w:rsidP="00244C61">
      <w:pPr>
        <w:pStyle w:val="ListParagraph"/>
        <w:spacing w:after="0"/>
        <w:ind w:left="0"/>
        <w:jc w:val="both"/>
        <w:rPr>
          <w:rFonts w:ascii="Arial" w:hAnsi="Arial" w:cs="Arial"/>
          <w:sz w:val="22"/>
        </w:rPr>
      </w:pPr>
    </w:p>
    <w:p w:rsidR="00541AF3" w:rsidRPr="00B65B18" w:rsidRDefault="00541AF3" w:rsidP="00B65B18">
      <w:pPr>
        <w:rPr>
          <w:b/>
        </w:rPr>
      </w:pPr>
      <w:r>
        <w:rPr>
          <w:b/>
        </w:rPr>
        <w:br w:type="page"/>
        <w:t>5</w:t>
      </w:r>
      <w:r w:rsidRPr="00B65B18">
        <w:rPr>
          <w:b/>
        </w:rPr>
        <w:t>. Workforce implications</w:t>
      </w:r>
    </w:p>
    <w:p w:rsidR="00541AF3" w:rsidRDefault="00541AF3" w:rsidP="00D058D4">
      <w:pPr>
        <w:jc w:val="both"/>
        <w:rPr>
          <w:rFonts w:ascii="Arial" w:hAnsi="Arial"/>
          <w:sz w:val="22"/>
        </w:rPr>
      </w:pPr>
      <w:r w:rsidRPr="00D058D4">
        <w:rPr>
          <w:rFonts w:ascii="Arial" w:hAnsi="Arial"/>
          <w:sz w:val="22"/>
        </w:rPr>
        <w:t>The aspiration of the sub-specialty is that each NHS Ambulance Service region of the UK has access to consultant led PHEM services 24 hours a day. This would require 10 Full Time Equivalent (FTE) consultants per region. However, many regions encompass large populations and/or geographical areas and two distinct PHEM services will be justified in several parts of the UK (perhaps more closely aligned to Major Trauma Centre outreach services or Air Ambulance Services than to NHS</w:t>
      </w:r>
      <w:r>
        <w:rPr>
          <w:rFonts w:ascii="Arial" w:hAnsi="Arial"/>
          <w:sz w:val="22"/>
        </w:rPr>
        <w:t xml:space="preserve"> Ambulance Services). Early IBTPHEM </w:t>
      </w:r>
      <w:r w:rsidRPr="00D058D4">
        <w:rPr>
          <w:rFonts w:ascii="Arial" w:hAnsi="Arial"/>
          <w:sz w:val="22"/>
        </w:rPr>
        <w:t xml:space="preserve">estimates were therefore based on 200 to 250 FTE consultants in PHEM across the UK. Given that all will have at least a 50% commitment to their base specialty and some supporting professional activities unrelated to PHEM, this FTE would relate to a head count of 600 to 750 sub-specialty trained doctors. </w:t>
      </w:r>
    </w:p>
    <w:p w:rsidR="00541AF3" w:rsidRPr="00D058D4" w:rsidRDefault="00541AF3" w:rsidP="00D058D4">
      <w:pPr>
        <w:jc w:val="both"/>
        <w:rPr>
          <w:rFonts w:ascii="Arial" w:hAnsi="Arial"/>
          <w:sz w:val="22"/>
        </w:rPr>
      </w:pPr>
      <w:r w:rsidRPr="00D058D4">
        <w:rPr>
          <w:rFonts w:ascii="Arial" w:hAnsi="Arial"/>
          <w:sz w:val="22"/>
        </w:rPr>
        <w:t>We believe that up to 200 existing consultants in Emergency Medicine and Anaesthetics who currently undertake (or have previously undertaken) elements of PHEM practice on a voluntary or ad-hoc basis would seek to formalise their PHEM practice if the sub-specialty comes into existence. The remaining posts would have to be filled through new sub-specialty training over time. The number of trainees who could be supported in any one year will depend on the capacity and number of training providers who can deliver the curriculum and maintain the Care Quality Commission standards for quality and safety. As services and training programmes become more established, it is likely that approximately 25 trainees could be supported in any one year.</w:t>
      </w:r>
    </w:p>
    <w:p w:rsidR="00541AF3" w:rsidRPr="00D058D4" w:rsidRDefault="00541AF3" w:rsidP="00D058D4">
      <w:pPr>
        <w:jc w:val="both"/>
        <w:rPr>
          <w:rFonts w:ascii="Arial" w:hAnsi="Arial"/>
          <w:sz w:val="22"/>
        </w:rPr>
      </w:pPr>
      <w:r w:rsidRPr="00D058D4">
        <w:rPr>
          <w:rFonts w:ascii="Arial" w:hAnsi="Arial"/>
          <w:sz w:val="22"/>
        </w:rPr>
        <w:t xml:space="preserve">These estimates have been provided to </w:t>
      </w:r>
      <w:r>
        <w:rPr>
          <w:rFonts w:ascii="Arial" w:hAnsi="Arial"/>
          <w:sz w:val="22"/>
        </w:rPr>
        <w:t>the core specialty College workforce leads and the Centre for Workforce Intelligence (CfWI)</w:t>
      </w:r>
      <w:r w:rsidRPr="00D058D4">
        <w:rPr>
          <w:rFonts w:ascii="Arial" w:hAnsi="Arial"/>
          <w:sz w:val="22"/>
        </w:rPr>
        <w:t xml:space="preserve"> </w:t>
      </w:r>
      <w:r>
        <w:rPr>
          <w:rFonts w:ascii="Arial" w:hAnsi="Arial"/>
          <w:sz w:val="22"/>
        </w:rPr>
        <w:t>-</w:t>
      </w:r>
      <w:r w:rsidRPr="00D058D4">
        <w:rPr>
          <w:rFonts w:ascii="Arial" w:hAnsi="Arial"/>
          <w:sz w:val="22"/>
        </w:rPr>
        <w:t xml:space="preserve"> assistance </w:t>
      </w:r>
      <w:r>
        <w:rPr>
          <w:rFonts w:ascii="Arial" w:hAnsi="Arial"/>
          <w:sz w:val="22"/>
        </w:rPr>
        <w:t>from both has been</w:t>
      </w:r>
      <w:r w:rsidRPr="00D058D4">
        <w:rPr>
          <w:rFonts w:ascii="Arial" w:hAnsi="Arial"/>
          <w:sz w:val="22"/>
        </w:rPr>
        <w:t xml:space="preserve"> sought in clarifying the likely number of career and training grade posts required to build and sustain the sub-specialty.</w:t>
      </w:r>
      <w:r>
        <w:rPr>
          <w:rFonts w:ascii="Arial" w:hAnsi="Arial"/>
          <w:sz w:val="22"/>
        </w:rPr>
        <w:t xml:space="preserve"> The IBTPHEM also contributed to the CfWI Regional Trauma Network (RTN) project and emphasised the potential influence of the PHEM sub-specialty on recruitment to Emergency Medicine and future demand for both Emergency Medicine and Anaesthetics. This was not further defined in the RTN project.</w:t>
      </w:r>
      <w:r>
        <w:rPr>
          <w:rStyle w:val="FootnoteReference"/>
          <w:rFonts w:ascii="Arial" w:hAnsi="Arial"/>
          <w:sz w:val="22"/>
        </w:rPr>
        <w:footnoteReference w:id="13"/>
      </w:r>
      <w:r>
        <w:rPr>
          <w:rFonts w:ascii="Arial" w:hAnsi="Arial"/>
          <w:sz w:val="22"/>
        </w:rPr>
        <w:t xml:space="preserve">  </w:t>
      </w:r>
    </w:p>
    <w:p w:rsidR="00541AF3" w:rsidRDefault="00541AF3" w:rsidP="00D058D4">
      <w:pPr>
        <w:jc w:val="both"/>
        <w:rPr>
          <w:rFonts w:ascii="Arial" w:hAnsi="Arial"/>
          <w:sz w:val="22"/>
        </w:rPr>
      </w:pPr>
      <w:r w:rsidRPr="00D058D4">
        <w:rPr>
          <w:rFonts w:ascii="Arial" w:hAnsi="Arial"/>
          <w:sz w:val="22"/>
        </w:rPr>
        <w:t xml:space="preserve">Whether </w:t>
      </w:r>
      <w:r>
        <w:rPr>
          <w:rFonts w:ascii="Arial" w:hAnsi="Arial"/>
          <w:sz w:val="22"/>
        </w:rPr>
        <w:t>sub-specialty training</w:t>
      </w:r>
      <w:r w:rsidRPr="00D058D4">
        <w:rPr>
          <w:rFonts w:ascii="Arial" w:hAnsi="Arial"/>
          <w:sz w:val="22"/>
        </w:rPr>
        <w:t xml:space="preserve"> will impact adversely on core CCT training is debated. PHEM is already popular with these trainees as it is considered to compliment core training. Many currently apply for out-of-programme time to experience established PHEM services in the UK or overseas. There are, for example, approximately 10 services in the UK which recruit trainees – usually on out-of-programme time – for periods of between 6 and 12 months experience. With the development of the sub-specialty, the ICB envisage that time currently taken ‘out-of-programme for experience’ (OOPE) would be converted to in-programme or ‘out-of-programme for training’ (OOPT) time – thus reducing the impact of the new sub-specialty on core CCT training. The ICB also anticipate that a large proportion of PHEM trainees will come from within the Defence Medical Services (DMS) cadre and, in effect, will not significantly extend training beyond that which is already undertaken by DMS trainees. </w:t>
      </w:r>
    </w:p>
    <w:p w:rsidR="00541AF3" w:rsidRPr="00123719" w:rsidRDefault="00541AF3" w:rsidP="00123719">
      <w:pPr>
        <w:jc w:val="both"/>
        <w:rPr>
          <w:rFonts w:ascii="Arial" w:hAnsi="Arial"/>
          <w:sz w:val="22"/>
        </w:rPr>
      </w:pPr>
    </w:p>
    <w:p w:rsidR="00541AF3" w:rsidRPr="0005129C" w:rsidRDefault="00541AF3">
      <w:pPr>
        <w:rPr>
          <w:b/>
        </w:rPr>
      </w:pPr>
      <w:r>
        <w:rPr>
          <w:b/>
        </w:rPr>
        <w:br w:type="page"/>
        <w:t xml:space="preserve">Additional </w:t>
      </w:r>
      <w:r w:rsidRPr="0005129C">
        <w:rPr>
          <w:b/>
        </w:rPr>
        <w:t>re</w:t>
      </w:r>
      <w:r>
        <w:rPr>
          <w:b/>
        </w:rPr>
        <w:t>ading</w:t>
      </w:r>
    </w:p>
    <w:p w:rsidR="00541AF3" w:rsidRDefault="00541AF3" w:rsidP="0005129C"/>
    <w:p w:rsidR="00541AF3" w:rsidRPr="0005129C" w:rsidRDefault="00541AF3" w:rsidP="0005129C">
      <w:pPr>
        <w:rPr>
          <w:i/>
        </w:rPr>
      </w:pPr>
      <w:r w:rsidRPr="0005129C">
        <w:rPr>
          <w:b/>
          <w:bCs/>
          <w:i/>
        </w:rPr>
        <w:t>For Debate…: A license to practise pre-hospital and retrieval medicine</w:t>
      </w:r>
    </w:p>
    <w:p w:rsidR="00541AF3" w:rsidRPr="0005129C" w:rsidRDefault="00541AF3" w:rsidP="0005129C">
      <w:r w:rsidRPr="0005129C">
        <w:t>Emergency Medicine Journal 2005;22:286-</w:t>
      </w:r>
      <w:r>
        <w:t>293 doi:10.1136/emj.2004.020636</w:t>
      </w:r>
    </w:p>
    <w:p w:rsidR="00541AF3" w:rsidRPr="0005129C" w:rsidRDefault="00541AF3" w:rsidP="0005129C">
      <w:r w:rsidRPr="0005129C">
        <w:rPr>
          <w:b/>
          <w:i/>
        </w:rPr>
        <w:t>Views regarding the provision of prehospital critical care in the UK</w:t>
      </w:r>
      <w:r w:rsidRPr="0005129C">
        <w:t xml:space="preserve">. </w:t>
      </w:r>
    </w:p>
    <w:p w:rsidR="00541AF3" w:rsidRPr="0005129C" w:rsidRDefault="00541AF3" w:rsidP="0005129C">
      <w:r w:rsidRPr="0005129C">
        <w:t>Emergency Medicine Journal 2009;26:365–370. doi:10.1136/emj.2008.062588</w:t>
      </w:r>
    </w:p>
    <w:p w:rsidR="00541AF3" w:rsidRPr="0005129C" w:rsidRDefault="00541AF3" w:rsidP="0005129C">
      <w:pPr>
        <w:rPr>
          <w:b/>
        </w:rPr>
      </w:pPr>
      <w:r w:rsidRPr="0005129C">
        <w:rPr>
          <w:b/>
          <w:i/>
        </w:rPr>
        <w:t>Specialist Trauma Response Teams</w:t>
      </w:r>
    </w:p>
    <w:p w:rsidR="00541AF3" w:rsidRPr="0005129C" w:rsidRDefault="00541AF3" w:rsidP="0005129C">
      <w:r w:rsidRPr="0005129C">
        <w:t xml:space="preserve">House of Commons Debate 11 June 2008 vol 477 cc67-88WH (available at http://www.publications.parliament.uk /pa/cm200708/cmhansrd/cm080611/halltext/80611h0001.htm#column_67WH). </w:t>
      </w:r>
    </w:p>
    <w:p w:rsidR="00541AF3" w:rsidRPr="0005129C" w:rsidRDefault="00541AF3" w:rsidP="0005129C">
      <w:pPr>
        <w:rPr>
          <w:b/>
        </w:rPr>
      </w:pPr>
      <w:r w:rsidRPr="0005129C">
        <w:rPr>
          <w:b/>
          <w:i/>
        </w:rPr>
        <w:t>NHS Doctors [to treat critically injured and ill patients outside hospital]</w:t>
      </w:r>
    </w:p>
    <w:p w:rsidR="00541AF3" w:rsidRPr="0005129C" w:rsidRDefault="00541AF3" w:rsidP="0005129C">
      <w:r w:rsidRPr="0005129C">
        <w:t>House of Lords Debate 23 March 2009 vol 709 cc519-529 (available at http://www.publications.parliament.uk /pa/ld200809/ldhansrd/text/90323-0011.htm#09032337000377).</w:t>
      </w:r>
    </w:p>
    <w:p w:rsidR="00541AF3" w:rsidRPr="0005129C" w:rsidRDefault="00541AF3" w:rsidP="0005129C">
      <w:pPr>
        <w:rPr>
          <w:b/>
          <w:bCs/>
          <w:i/>
        </w:rPr>
      </w:pPr>
      <w:r w:rsidRPr="0005129C">
        <w:rPr>
          <w:b/>
          <w:bCs/>
          <w:i/>
        </w:rPr>
        <w:t>Regional Networks for Major Trauma - NHS Clinical Advisory Groups Report</w:t>
      </w:r>
    </w:p>
    <w:p w:rsidR="00541AF3" w:rsidRPr="0005129C" w:rsidRDefault="00541AF3" w:rsidP="0005129C">
      <w:r w:rsidRPr="0005129C">
        <w:t>September 2010. http://www.excellence.eastmidlands.nhs.uk/welcome/improving-care/emergency-urgent-care/major-trauma/nhs-clinical-advisory-group/</w:t>
      </w:r>
    </w:p>
    <w:p w:rsidR="00541AF3" w:rsidRPr="0005129C" w:rsidRDefault="00541AF3" w:rsidP="0005129C">
      <w:pPr>
        <w:rPr>
          <w:b/>
        </w:rPr>
      </w:pPr>
      <w:r w:rsidRPr="0005129C">
        <w:rPr>
          <w:b/>
          <w:i/>
        </w:rPr>
        <w:t>Major Trauma Care in England</w:t>
      </w:r>
      <w:r w:rsidRPr="0005129C">
        <w:rPr>
          <w:b/>
        </w:rPr>
        <w:t xml:space="preserve"> </w:t>
      </w:r>
    </w:p>
    <w:p w:rsidR="00541AF3" w:rsidRPr="0005129C" w:rsidRDefault="00541AF3" w:rsidP="0005129C">
      <w:r w:rsidRPr="0005129C">
        <w:t>National Audit Office, February 2010. (full report available at: http://www.nao.org.uk/publications/0910/major_trauma_care.aspx).</w:t>
      </w:r>
    </w:p>
    <w:p w:rsidR="00541AF3" w:rsidRPr="0005129C" w:rsidRDefault="00541AF3" w:rsidP="0005129C">
      <w:pPr>
        <w:rPr>
          <w:b/>
        </w:rPr>
      </w:pPr>
      <w:r w:rsidRPr="0005129C">
        <w:rPr>
          <w:b/>
          <w:i/>
        </w:rPr>
        <w:t>Trauma: Who cares?</w:t>
      </w:r>
      <w:r w:rsidRPr="0005129C">
        <w:rPr>
          <w:b/>
        </w:rPr>
        <w:t xml:space="preserve"> </w:t>
      </w:r>
    </w:p>
    <w:p w:rsidR="00541AF3" w:rsidRPr="0005129C" w:rsidRDefault="00541AF3" w:rsidP="0005129C">
      <w:r w:rsidRPr="0005129C">
        <w:t>National Confidential Enquiry into Patient Outcomes and Death, September 2007. (full report available at: http://www.ncepod.org.uk/2007t.htm)</w:t>
      </w:r>
    </w:p>
    <w:p w:rsidR="00541AF3" w:rsidRPr="0005129C" w:rsidRDefault="00541AF3" w:rsidP="0005129C">
      <w:pPr>
        <w:rPr>
          <w:b/>
        </w:rPr>
      </w:pPr>
      <w:r w:rsidRPr="0005129C">
        <w:rPr>
          <w:b/>
          <w:i/>
        </w:rPr>
        <w:t>Better care for the severely injured</w:t>
      </w:r>
    </w:p>
    <w:p w:rsidR="00541AF3" w:rsidRPr="0005129C" w:rsidRDefault="00541AF3" w:rsidP="0005129C">
      <w:r w:rsidRPr="0005129C">
        <w:t>Royal College of Surgeons of Edinburgh and British Orthopaedics Association, July 2000. (full report available at: http://www.rcseng.ac.uk/publications/docs/ severely_injured.html).</w:t>
      </w:r>
    </w:p>
    <w:p w:rsidR="00541AF3" w:rsidRPr="00085167" w:rsidRDefault="00541AF3" w:rsidP="00522D7B">
      <w:pPr>
        <w:rPr>
          <w:rFonts w:ascii="Arial" w:hAnsi="Arial"/>
          <w:b/>
          <w:bCs/>
          <w:sz w:val="22"/>
        </w:rPr>
      </w:pPr>
      <w:r>
        <w:br w:type="page"/>
      </w:r>
      <w:r w:rsidRPr="00085167">
        <w:rPr>
          <w:rFonts w:ascii="Arial" w:hAnsi="Arial"/>
          <w:b/>
          <w:bCs/>
          <w:sz w:val="22"/>
        </w:rPr>
        <w:t xml:space="preserve">Annex A. </w:t>
      </w:r>
      <w:r w:rsidRPr="00085167">
        <w:rPr>
          <w:rFonts w:ascii="Arial" w:hAnsi="Arial" w:cs="Arial"/>
          <w:b/>
          <w:sz w:val="22"/>
          <w:lang w:val="en-GB"/>
        </w:rPr>
        <w:t>Terms of Reference and Membership of IBTPHEM and CTA sub-committee</w:t>
      </w:r>
    </w:p>
    <w:p w:rsidR="00541AF3" w:rsidRPr="00EA761C" w:rsidRDefault="00541AF3" w:rsidP="00522D7B">
      <w:pPr>
        <w:spacing w:after="120"/>
        <w:jc w:val="both"/>
        <w:rPr>
          <w:rFonts w:ascii="Arial" w:hAnsi="Arial"/>
          <w:b/>
          <w:sz w:val="22"/>
          <w:lang w:val="en-GB"/>
        </w:rPr>
      </w:pPr>
      <w:r w:rsidRPr="00EA761C">
        <w:rPr>
          <w:rFonts w:ascii="Arial" w:hAnsi="Arial"/>
          <w:b/>
          <w:sz w:val="22"/>
          <w:lang w:val="en-GB"/>
        </w:rPr>
        <w:t>Introduction</w:t>
      </w:r>
    </w:p>
    <w:p w:rsidR="00541AF3" w:rsidRPr="00EA761C" w:rsidRDefault="00541AF3" w:rsidP="00522D7B">
      <w:pPr>
        <w:jc w:val="both"/>
        <w:rPr>
          <w:rFonts w:ascii="Arial" w:hAnsi="Arial"/>
          <w:sz w:val="22"/>
          <w:lang w:val="en-GB"/>
        </w:rPr>
      </w:pPr>
      <w:r w:rsidRPr="00EA761C">
        <w:rPr>
          <w:rFonts w:ascii="Arial" w:hAnsi="Arial"/>
          <w:sz w:val="22"/>
          <w:lang w:val="en-GB"/>
        </w:rPr>
        <w:t xml:space="preserve">This annex describes the terms of reference of the Intercollegiate Board for Training in Pre-hospital Emergency Medicine, lists the current membership and describes the terms of reference for the Curriculum, Training and Assessment Sub-committee. </w:t>
      </w:r>
    </w:p>
    <w:p w:rsidR="00541AF3" w:rsidRPr="00EA761C" w:rsidRDefault="00541AF3" w:rsidP="00522D7B">
      <w:pPr>
        <w:spacing w:after="120"/>
        <w:jc w:val="both"/>
        <w:rPr>
          <w:rFonts w:ascii="Arial" w:hAnsi="Arial"/>
          <w:b/>
          <w:sz w:val="22"/>
          <w:lang w:val="en-GB"/>
        </w:rPr>
      </w:pPr>
      <w:r w:rsidRPr="00EA761C">
        <w:rPr>
          <w:rFonts w:ascii="Arial" w:hAnsi="Arial"/>
          <w:b/>
          <w:sz w:val="22"/>
          <w:lang w:val="en-GB"/>
        </w:rPr>
        <w:t>Intercollegiate Board – Terms of Reference</w:t>
      </w:r>
    </w:p>
    <w:p w:rsidR="00541AF3" w:rsidRPr="00EA761C" w:rsidRDefault="00541AF3" w:rsidP="00522D7B">
      <w:pPr>
        <w:spacing w:after="0"/>
        <w:jc w:val="both"/>
        <w:rPr>
          <w:rFonts w:ascii="Arial" w:hAnsi="Arial"/>
          <w:b/>
          <w:sz w:val="22"/>
          <w:lang w:val="en-GB"/>
        </w:rPr>
      </w:pPr>
      <w:r w:rsidRPr="00EA761C">
        <w:rPr>
          <w:rFonts w:ascii="Arial" w:hAnsi="Arial"/>
          <w:b/>
          <w:sz w:val="22"/>
          <w:lang w:val="en-GB"/>
        </w:rPr>
        <w:t>Definitions</w:t>
      </w:r>
    </w:p>
    <w:p w:rsidR="00541AF3" w:rsidRPr="00EA761C" w:rsidRDefault="00541AF3" w:rsidP="00522D7B">
      <w:pPr>
        <w:spacing w:after="120"/>
        <w:jc w:val="both"/>
        <w:rPr>
          <w:rFonts w:ascii="Arial" w:hAnsi="Arial"/>
          <w:sz w:val="22"/>
          <w:lang w:val="en-GB"/>
        </w:rPr>
      </w:pPr>
      <w:r w:rsidRPr="00EA761C">
        <w:rPr>
          <w:rFonts w:ascii="Arial" w:hAnsi="Arial"/>
          <w:sz w:val="22"/>
          <w:lang w:val="en-GB"/>
        </w:rPr>
        <w:t>1. (a) In these terms of reference the words or phrases in the left hand column have the meaning in the right hand column.</w:t>
      </w:r>
    </w:p>
    <w:p w:rsidR="00541AF3" w:rsidRPr="00EA761C" w:rsidRDefault="00541AF3" w:rsidP="00522D7B">
      <w:pPr>
        <w:spacing w:after="120"/>
        <w:ind w:left="2880" w:hanging="2880"/>
        <w:rPr>
          <w:rFonts w:ascii="Arial" w:hAnsi="Arial"/>
          <w:sz w:val="22"/>
          <w:lang w:val="en-GB"/>
        </w:rPr>
      </w:pPr>
      <w:r w:rsidRPr="00EA761C">
        <w:rPr>
          <w:rFonts w:ascii="Arial" w:hAnsi="Arial"/>
          <w:b/>
          <w:sz w:val="22"/>
          <w:lang w:val="en-GB"/>
        </w:rPr>
        <w:t>The Board</w:t>
      </w:r>
      <w:r w:rsidRPr="00EA761C">
        <w:rPr>
          <w:rFonts w:ascii="Arial" w:hAnsi="Arial"/>
          <w:sz w:val="22"/>
          <w:lang w:val="en-GB"/>
        </w:rPr>
        <w:tab/>
        <w:t>The Intercollegiate Board For Training In Pre-Hospital Emergency Medicine (IBTPHEM)</w:t>
      </w:r>
    </w:p>
    <w:p w:rsidR="00541AF3" w:rsidRPr="00EA761C" w:rsidRDefault="00541AF3" w:rsidP="00522D7B">
      <w:pPr>
        <w:spacing w:after="0"/>
        <w:ind w:left="2880" w:hanging="2880"/>
        <w:rPr>
          <w:rFonts w:ascii="Arial" w:hAnsi="Arial"/>
          <w:b/>
          <w:sz w:val="22"/>
          <w:lang w:val="en-GB"/>
        </w:rPr>
      </w:pPr>
      <w:r w:rsidRPr="00EA761C">
        <w:rPr>
          <w:rFonts w:ascii="Arial" w:hAnsi="Arial"/>
          <w:b/>
          <w:sz w:val="22"/>
          <w:lang w:val="en-GB"/>
        </w:rPr>
        <w:t>The Lead Colleges</w:t>
      </w:r>
      <w:r w:rsidRPr="00EA761C">
        <w:rPr>
          <w:rFonts w:ascii="Arial" w:hAnsi="Arial"/>
          <w:sz w:val="22"/>
          <w:lang w:val="en-GB"/>
        </w:rPr>
        <w:tab/>
        <w:t>The Royal College of Surgeons of Edinburgh (through the Faculty of Pre-Hospital Care)</w:t>
      </w:r>
    </w:p>
    <w:p w:rsidR="00541AF3" w:rsidRPr="00EA761C" w:rsidRDefault="00541AF3" w:rsidP="00522D7B">
      <w:pPr>
        <w:spacing w:after="0"/>
        <w:ind w:left="2160" w:firstLine="720"/>
        <w:rPr>
          <w:rFonts w:ascii="Arial" w:hAnsi="Arial"/>
          <w:sz w:val="22"/>
          <w:lang w:val="en-GB"/>
        </w:rPr>
      </w:pPr>
      <w:r w:rsidRPr="00EA761C">
        <w:rPr>
          <w:rFonts w:ascii="Arial" w:hAnsi="Arial"/>
          <w:sz w:val="22"/>
          <w:lang w:val="en-GB"/>
        </w:rPr>
        <w:t>The Royal College of Anaesthetists</w:t>
      </w:r>
    </w:p>
    <w:p w:rsidR="00541AF3" w:rsidRPr="00EA761C" w:rsidRDefault="00541AF3" w:rsidP="00522D7B">
      <w:pPr>
        <w:spacing w:after="0"/>
        <w:ind w:left="2160" w:firstLine="720"/>
        <w:rPr>
          <w:rFonts w:ascii="Arial" w:hAnsi="Arial"/>
          <w:sz w:val="22"/>
          <w:lang w:val="en-GB"/>
        </w:rPr>
      </w:pPr>
      <w:r w:rsidRPr="00EA761C">
        <w:rPr>
          <w:rFonts w:ascii="Arial" w:hAnsi="Arial"/>
          <w:sz w:val="22"/>
          <w:lang w:val="en-GB"/>
        </w:rPr>
        <w:t>The College of Emergency Medicine</w:t>
      </w:r>
    </w:p>
    <w:p w:rsidR="00541AF3" w:rsidRPr="00EA761C" w:rsidRDefault="00541AF3" w:rsidP="00522D7B">
      <w:pPr>
        <w:spacing w:after="120"/>
        <w:ind w:left="2160" w:firstLine="720"/>
        <w:rPr>
          <w:rFonts w:ascii="Arial" w:hAnsi="Arial"/>
          <w:sz w:val="22"/>
          <w:lang w:val="en-GB"/>
        </w:rPr>
      </w:pPr>
      <w:r w:rsidRPr="00EA761C">
        <w:rPr>
          <w:rFonts w:ascii="Arial" w:hAnsi="Arial"/>
          <w:sz w:val="22"/>
          <w:lang w:val="en-GB"/>
        </w:rPr>
        <w:t>The Royal College of General Practitioners</w:t>
      </w:r>
    </w:p>
    <w:p w:rsidR="00541AF3" w:rsidRPr="00EA761C" w:rsidRDefault="00541AF3" w:rsidP="00522D7B">
      <w:pPr>
        <w:spacing w:after="0"/>
        <w:rPr>
          <w:rFonts w:ascii="Arial" w:hAnsi="Arial"/>
          <w:sz w:val="22"/>
          <w:lang w:val="en-GB"/>
        </w:rPr>
      </w:pPr>
      <w:r w:rsidRPr="00EA761C">
        <w:rPr>
          <w:rFonts w:ascii="Arial" w:hAnsi="Arial"/>
          <w:b/>
          <w:sz w:val="22"/>
          <w:lang w:val="en-GB"/>
        </w:rPr>
        <w:t>Other Organisations</w:t>
      </w:r>
      <w:r w:rsidRPr="00EA761C">
        <w:rPr>
          <w:rFonts w:ascii="Arial" w:hAnsi="Arial"/>
          <w:sz w:val="22"/>
          <w:lang w:val="en-GB"/>
        </w:rPr>
        <w:tab/>
      </w:r>
      <w:r>
        <w:rPr>
          <w:rFonts w:ascii="Arial" w:hAnsi="Arial"/>
          <w:sz w:val="22"/>
          <w:lang w:val="en-GB"/>
        </w:rPr>
        <w:tab/>
      </w:r>
      <w:r w:rsidRPr="00EA761C">
        <w:rPr>
          <w:rFonts w:ascii="Arial" w:hAnsi="Arial"/>
          <w:sz w:val="22"/>
          <w:lang w:val="en-GB"/>
        </w:rPr>
        <w:t>The Royal College of Physicians of London</w:t>
      </w:r>
    </w:p>
    <w:p w:rsidR="00541AF3" w:rsidRPr="00EA761C" w:rsidRDefault="00541AF3" w:rsidP="00522D7B">
      <w:pPr>
        <w:spacing w:after="0"/>
        <w:ind w:left="2160" w:firstLine="720"/>
        <w:rPr>
          <w:rFonts w:ascii="Arial" w:hAnsi="Arial"/>
          <w:sz w:val="22"/>
          <w:lang w:val="en-GB"/>
        </w:rPr>
      </w:pPr>
      <w:r w:rsidRPr="00EA761C">
        <w:rPr>
          <w:rFonts w:ascii="Arial" w:hAnsi="Arial"/>
          <w:sz w:val="22"/>
          <w:lang w:val="en-GB"/>
        </w:rPr>
        <w:t>The Royal College of Paediatrics and Child Health</w:t>
      </w:r>
    </w:p>
    <w:p w:rsidR="00541AF3" w:rsidRPr="00EA761C" w:rsidRDefault="00541AF3" w:rsidP="00522D7B">
      <w:pPr>
        <w:spacing w:after="0"/>
        <w:ind w:left="2160" w:firstLine="720"/>
        <w:rPr>
          <w:rFonts w:ascii="Arial" w:hAnsi="Arial"/>
          <w:sz w:val="22"/>
          <w:lang w:val="en-GB"/>
        </w:rPr>
      </w:pPr>
      <w:r w:rsidRPr="00EA761C">
        <w:rPr>
          <w:rFonts w:ascii="Arial" w:hAnsi="Arial"/>
          <w:sz w:val="22"/>
          <w:lang w:val="en-GB"/>
        </w:rPr>
        <w:t>The Royal College of Psychiatrists</w:t>
      </w:r>
    </w:p>
    <w:p w:rsidR="00541AF3" w:rsidRPr="00EA761C" w:rsidRDefault="00541AF3" w:rsidP="00522D7B">
      <w:pPr>
        <w:spacing w:after="0"/>
        <w:ind w:left="2880"/>
        <w:rPr>
          <w:rFonts w:ascii="Arial" w:hAnsi="Arial"/>
          <w:sz w:val="22"/>
          <w:lang w:val="en-GB"/>
        </w:rPr>
      </w:pPr>
      <w:r w:rsidRPr="00EA761C">
        <w:rPr>
          <w:rFonts w:ascii="Arial" w:hAnsi="Arial"/>
          <w:sz w:val="22"/>
          <w:lang w:val="en-GB"/>
        </w:rPr>
        <w:t>The Joint Committee on Surgical Training of the Royal Colleges of Surgeons of England, Edinburgh and Glasgow</w:t>
      </w:r>
    </w:p>
    <w:p w:rsidR="00541AF3" w:rsidRPr="00EA761C" w:rsidRDefault="00541AF3" w:rsidP="00522D7B">
      <w:pPr>
        <w:spacing w:after="0"/>
        <w:ind w:left="2880"/>
        <w:rPr>
          <w:rFonts w:ascii="Arial" w:hAnsi="Arial"/>
          <w:sz w:val="22"/>
          <w:lang w:val="en-GB"/>
        </w:rPr>
      </w:pPr>
      <w:r w:rsidRPr="00EA761C">
        <w:rPr>
          <w:rFonts w:ascii="Arial" w:hAnsi="Arial"/>
          <w:sz w:val="22"/>
          <w:lang w:val="en-GB"/>
        </w:rPr>
        <w:t xml:space="preserve">The </w:t>
      </w:r>
      <w:r w:rsidRPr="00EA761C">
        <w:rPr>
          <w:rFonts w:ascii="Arial" w:hAnsi="Arial"/>
          <w:bCs/>
          <w:sz w:val="22"/>
          <w:lang w:val="en-GB"/>
        </w:rPr>
        <w:t>Joint Royal Colleges of Physicians Training Board</w:t>
      </w:r>
      <w:r w:rsidRPr="00EA761C">
        <w:rPr>
          <w:rFonts w:ascii="Arial" w:hAnsi="Arial"/>
          <w:sz w:val="22"/>
          <w:lang w:val="en-GB"/>
        </w:rPr>
        <w:t xml:space="preserve"> of the Royal Colleges of Physicians of London, Edinburgh and Glasgow</w:t>
      </w:r>
    </w:p>
    <w:p w:rsidR="00541AF3" w:rsidRPr="00EA761C" w:rsidRDefault="00541AF3" w:rsidP="00522D7B">
      <w:pPr>
        <w:spacing w:after="0"/>
        <w:ind w:left="2880"/>
        <w:rPr>
          <w:rFonts w:ascii="Arial" w:hAnsi="Arial"/>
          <w:sz w:val="22"/>
          <w:lang w:val="en-GB"/>
        </w:rPr>
      </w:pPr>
      <w:r w:rsidRPr="00EA761C">
        <w:rPr>
          <w:rFonts w:ascii="Arial" w:hAnsi="Arial"/>
          <w:sz w:val="22"/>
          <w:lang w:val="en-GB"/>
        </w:rPr>
        <w:t>The Inter-Collegiate Board for Training in Intensive Care Medicine</w:t>
      </w:r>
    </w:p>
    <w:p w:rsidR="00541AF3" w:rsidRPr="00EA761C" w:rsidRDefault="00541AF3" w:rsidP="00522D7B">
      <w:pPr>
        <w:spacing w:after="0"/>
        <w:ind w:left="2160" w:firstLine="720"/>
        <w:rPr>
          <w:rFonts w:ascii="Arial" w:hAnsi="Arial"/>
          <w:sz w:val="22"/>
          <w:lang w:val="en-GB"/>
        </w:rPr>
      </w:pPr>
      <w:r w:rsidRPr="00EA761C">
        <w:rPr>
          <w:rFonts w:ascii="Arial" w:hAnsi="Arial"/>
          <w:sz w:val="22"/>
          <w:lang w:val="en-GB"/>
        </w:rPr>
        <w:t>The Academy of Medical Royal Colleges</w:t>
      </w:r>
    </w:p>
    <w:p w:rsidR="00541AF3" w:rsidRPr="00EA761C" w:rsidRDefault="00541AF3" w:rsidP="00522D7B">
      <w:pPr>
        <w:spacing w:after="0"/>
        <w:ind w:left="2160" w:firstLine="720"/>
        <w:rPr>
          <w:rFonts w:ascii="Arial" w:hAnsi="Arial"/>
          <w:sz w:val="22"/>
          <w:lang w:val="en-GB"/>
        </w:rPr>
      </w:pPr>
      <w:r w:rsidRPr="00EA761C">
        <w:rPr>
          <w:rFonts w:ascii="Arial" w:hAnsi="Arial"/>
          <w:sz w:val="22"/>
          <w:lang w:val="en-GB"/>
        </w:rPr>
        <w:t>The Defence Medical Services</w:t>
      </w:r>
    </w:p>
    <w:p w:rsidR="00541AF3" w:rsidRPr="00EA761C" w:rsidRDefault="00541AF3" w:rsidP="00522D7B">
      <w:pPr>
        <w:spacing w:after="120"/>
        <w:ind w:left="2880"/>
        <w:rPr>
          <w:rFonts w:ascii="Arial" w:hAnsi="Arial"/>
          <w:sz w:val="22"/>
          <w:lang w:val="en-GB"/>
        </w:rPr>
      </w:pPr>
      <w:r w:rsidRPr="00EA761C">
        <w:rPr>
          <w:rFonts w:ascii="Arial" w:hAnsi="Arial"/>
          <w:sz w:val="22"/>
          <w:lang w:val="en-GB"/>
        </w:rPr>
        <w:t>The Departments of Health for England, Scotland, Northern Ireland and Wales</w:t>
      </w:r>
    </w:p>
    <w:p w:rsidR="00541AF3" w:rsidRPr="00EA761C" w:rsidRDefault="00541AF3" w:rsidP="00522D7B">
      <w:pPr>
        <w:spacing w:after="120"/>
        <w:rPr>
          <w:rFonts w:ascii="Arial" w:hAnsi="Arial"/>
          <w:sz w:val="22"/>
          <w:lang w:val="en-GB"/>
        </w:rPr>
      </w:pPr>
      <w:r w:rsidRPr="00EA761C">
        <w:rPr>
          <w:rFonts w:ascii="Arial" w:hAnsi="Arial"/>
          <w:b/>
          <w:sz w:val="22"/>
          <w:lang w:val="en-GB"/>
        </w:rPr>
        <w:t>Pre-hospital Emergency Medicine</w:t>
      </w:r>
      <w:r w:rsidRPr="00EA761C">
        <w:rPr>
          <w:rFonts w:ascii="Arial" w:hAnsi="Arial"/>
          <w:sz w:val="22"/>
          <w:lang w:val="en-GB"/>
        </w:rPr>
        <w:t xml:space="preserve">  is defined in the following sub-paragraph:</w:t>
      </w:r>
    </w:p>
    <w:p w:rsidR="00541AF3" w:rsidRPr="00EA761C" w:rsidRDefault="00541AF3" w:rsidP="00522D7B">
      <w:pPr>
        <w:numPr>
          <w:ilvl w:val="0"/>
          <w:numId w:val="12"/>
        </w:numPr>
        <w:tabs>
          <w:tab w:val="clear" w:pos="720"/>
        </w:tabs>
        <w:ind w:left="426" w:hanging="426"/>
        <w:jc w:val="both"/>
        <w:rPr>
          <w:rFonts w:ascii="Arial" w:hAnsi="Arial"/>
          <w:sz w:val="22"/>
          <w:lang w:val="en-GB"/>
        </w:rPr>
      </w:pPr>
      <w:r w:rsidRPr="00EA761C">
        <w:rPr>
          <w:rFonts w:ascii="Arial" w:hAnsi="Arial"/>
          <w:sz w:val="22"/>
          <w:lang w:val="en-GB"/>
        </w:rPr>
        <w:t xml:space="preserve">Subject to paragraph 4(a) of these terms of reference Pre Hospital Emergency Medicine means that area of medical care required for seriously ill or injured patients before they reach hospital or during transfer between hospitals. The main area of care will be for critically ill patients. </w:t>
      </w:r>
    </w:p>
    <w:p w:rsidR="00541AF3" w:rsidRPr="00EA761C" w:rsidRDefault="00541AF3" w:rsidP="00522D7B">
      <w:pPr>
        <w:spacing w:after="120"/>
        <w:jc w:val="both"/>
        <w:rPr>
          <w:rFonts w:ascii="Arial" w:hAnsi="Arial"/>
          <w:b/>
          <w:sz w:val="22"/>
          <w:lang w:val="en-GB"/>
        </w:rPr>
      </w:pPr>
      <w:r w:rsidRPr="00EA761C">
        <w:rPr>
          <w:rFonts w:ascii="Arial" w:hAnsi="Arial"/>
          <w:b/>
          <w:sz w:val="22"/>
          <w:lang w:val="en-GB"/>
        </w:rPr>
        <w:br w:type="page"/>
        <w:t>Constitution</w:t>
      </w:r>
    </w:p>
    <w:p w:rsidR="00541AF3" w:rsidRPr="00EA761C" w:rsidRDefault="00541AF3" w:rsidP="00522D7B">
      <w:pPr>
        <w:spacing w:after="120"/>
        <w:jc w:val="both"/>
        <w:rPr>
          <w:rFonts w:ascii="Arial" w:hAnsi="Arial"/>
          <w:sz w:val="22"/>
          <w:lang w:val="en-GB"/>
        </w:rPr>
      </w:pPr>
      <w:r w:rsidRPr="00EA761C">
        <w:rPr>
          <w:rFonts w:ascii="Arial" w:hAnsi="Arial"/>
          <w:sz w:val="22"/>
          <w:lang w:val="en-GB"/>
        </w:rPr>
        <w:t>2. (a) Following agreement by the Colleges and Faculties concerned, the Board’s constitution shall be:</w:t>
      </w:r>
    </w:p>
    <w:p w:rsidR="00541AF3" w:rsidRPr="00EA761C" w:rsidRDefault="00541AF3" w:rsidP="00522D7B">
      <w:pPr>
        <w:spacing w:after="120"/>
        <w:jc w:val="both"/>
        <w:rPr>
          <w:rFonts w:ascii="Arial" w:hAnsi="Arial"/>
          <w:sz w:val="22"/>
          <w:lang w:val="en-GB"/>
        </w:rPr>
      </w:pPr>
      <w:r w:rsidRPr="00EA761C">
        <w:rPr>
          <w:rFonts w:ascii="Arial" w:hAnsi="Arial"/>
          <w:sz w:val="22"/>
          <w:lang w:val="en-GB"/>
        </w:rPr>
        <w:t>A Chairman</w:t>
      </w:r>
    </w:p>
    <w:p w:rsidR="00541AF3" w:rsidRPr="00EA761C" w:rsidRDefault="00541AF3" w:rsidP="00522D7B">
      <w:pPr>
        <w:spacing w:after="0"/>
        <w:ind w:left="3544" w:hanging="3544"/>
        <w:rPr>
          <w:rFonts w:ascii="Arial" w:hAnsi="Arial"/>
          <w:sz w:val="22"/>
          <w:lang w:val="en-GB"/>
        </w:rPr>
      </w:pPr>
      <w:r w:rsidRPr="00EA761C">
        <w:rPr>
          <w:rFonts w:ascii="Arial" w:hAnsi="Arial"/>
          <w:sz w:val="22"/>
          <w:lang w:val="en-GB"/>
        </w:rPr>
        <w:t>Two members each nominated by</w:t>
      </w:r>
      <w:r>
        <w:rPr>
          <w:rFonts w:ascii="Arial" w:hAnsi="Arial"/>
          <w:sz w:val="22"/>
          <w:lang w:val="en-GB"/>
        </w:rPr>
        <w:t>:</w:t>
      </w:r>
      <w:r w:rsidRPr="00EA761C">
        <w:rPr>
          <w:rFonts w:ascii="Arial" w:hAnsi="Arial"/>
          <w:sz w:val="22"/>
          <w:lang w:val="en-GB"/>
        </w:rPr>
        <w:t xml:space="preserve"> </w:t>
      </w:r>
      <w:r w:rsidRPr="00EA761C">
        <w:rPr>
          <w:rFonts w:ascii="Arial" w:hAnsi="Arial"/>
          <w:sz w:val="22"/>
          <w:lang w:val="en-GB"/>
        </w:rPr>
        <w:tab/>
        <w:t>The Royal College of Surgeons of Edinburgh (through the Faculty of Pre-Hospital Care)</w:t>
      </w:r>
    </w:p>
    <w:p w:rsidR="00541AF3" w:rsidRPr="00EA761C" w:rsidRDefault="00541AF3" w:rsidP="00522D7B">
      <w:pPr>
        <w:spacing w:after="0"/>
        <w:ind w:left="3544"/>
        <w:rPr>
          <w:rFonts w:ascii="Arial" w:hAnsi="Arial"/>
          <w:sz w:val="22"/>
          <w:lang w:val="en-GB"/>
        </w:rPr>
      </w:pPr>
      <w:r w:rsidRPr="00EA761C">
        <w:rPr>
          <w:rFonts w:ascii="Arial" w:hAnsi="Arial"/>
          <w:sz w:val="22"/>
          <w:lang w:val="en-GB"/>
        </w:rPr>
        <w:t>The Royal College of Anaesthetists</w:t>
      </w:r>
    </w:p>
    <w:p w:rsidR="00541AF3" w:rsidRPr="00EA761C" w:rsidRDefault="00541AF3" w:rsidP="00522D7B">
      <w:pPr>
        <w:spacing w:after="0"/>
        <w:ind w:left="3544"/>
        <w:rPr>
          <w:rFonts w:ascii="Arial" w:hAnsi="Arial"/>
          <w:sz w:val="22"/>
          <w:lang w:val="en-GB"/>
        </w:rPr>
      </w:pPr>
      <w:r w:rsidRPr="00EA761C">
        <w:rPr>
          <w:rFonts w:ascii="Arial" w:hAnsi="Arial"/>
          <w:sz w:val="22"/>
          <w:lang w:val="en-GB"/>
        </w:rPr>
        <w:t>The College of Emergency Medicine</w:t>
      </w:r>
    </w:p>
    <w:p w:rsidR="00541AF3" w:rsidRPr="00EA761C" w:rsidRDefault="00541AF3" w:rsidP="00522D7B">
      <w:pPr>
        <w:spacing w:after="0"/>
        <w:ind w:left="3544"/>
        <w:rPr>
          <w:rFonts w:ascii="Arial" w:hAnsi="Arial"/>
          <w:sz w:val="22"/>
          <w:lang w:val="en-GB"/>
        </w:rPr>
      </w:pPr>
      <w:r w:rsidRPr="00EA761C">
        <w:rPr>
          <w:rFonts w:ascii="Arial" w:hAnsi="Arial"/>
          <w:sz w:val="22"/>
          <w:lang w:val="en-GB"/>
        </w:rPr>
        <w:t>The Royal College of General Practitioners</w:t>
      </w:r>
    </w:p>
    <w:p w:rsidR="00541AF3" w:rsidRPr="00EA761C" w:rsidRDefault="00541AF3" w:rsidP="00522D7B">
      <w:pPr>
        <w:spacing w:after="0"/>
        <w:ind w:left="3544" w:hanging="3544"/>
        <w:rPr>
          <w:rFonts w:ascii="Arial" w:hAnsi="Arial"/>
          <w:sz w:val="22"/>
          <w:lang w:val="en-GB"/>
        </w:rPr>
      </w:pPr>
      <w:r w:rsidRPr="00EA761C">
        <w:rPr>
          <w:rFonts w:ascii="Arial" w:hAnsi="Arial"/>
          <w:sz w:val="22"/>
          <w:lang w:val="en-GB"/>
        </w:rPr>
        <w:t>One Member each nominated by</w:t>
      </w:r>
      <w:r>
        <w:rPr>
          <w:rFonts w:ascii="Arial" w:hAnsi="Arial"/>
          <w:sz w:val="22"/>
          <w:lang w:val="en-GB"/>
        </w:rPr>
        <w:t>:</w:t>
      </w:r>
      <w:r w:rsidRPr="00EA761C">
        <w:rPr>
          <w:rFonts w:ascii="Arial" w:hAnsi="Arial"/>
          <w:sz w:val="22"/>
          <w:lang w:val="en-GB"/>
        </w:rPr>
        <w:t xml:space="preserve"> </w:t>
      </w:r>
      <w:r w:rsidRPr="00EA761C">
        <w:rPr>
          <w:rFonts w:ascii="Arial" w:hAnsi="Arial"/>
          <w:sz w:val="22"/>
          <w:lang w:val="en-GB"/>
        </w:rPr>
        <w:tab/>
      </w:r>
    </w:p>
    <w:p w:rsidR="00541AF3" w:rsidRPr="00EA761C" w:rsidRDefault="00541AF3" w:rsidP="00522D7B">
      <w:pPr>
        <w:spacing w:after="0"/>
        <w:ind w:left="3544"/>
        <w:rPr>
          <w:rFonts w:ascii="Arial" w:hAnsi="Arial"/>
          <w:sz w:val="22"/>
          <w:lang w:val="en-GB"/>
        </w:rPr>
      </w:pPr>
      <w:r w:rsidRPr="00EA761C">
        <w:rPr>
          <w:rFonts w:ascii="Arial" w:hAnsi="Arial"/>
          <w:sz w:val="22"/>
          <w:lang w:val="en-GB"/>
        </w:rPr>
        <w:t>The Royal College of Paediatrics and Child Health</w:t>
      </w:r>
    </w:p>
    <w:p w:rsidR="00541AF3" w:rsidRDefault="00541AF3" w:rsidP="00522D7B">
      <w:pPr>
        <w:spacing w:after="0"/>
        <w:ind w:left="3544"/>
        <w:rPr>
          <w:rFonts w:ascii="Arial" w:hAnsi="Arial"/>
          <w:sz w:val="22"/>
          <w:lang w:val="en-GB"/>
        </w:rPr>
      </w:pPr>
      <w:r w:rsidRPr="00EA761C">
        <w:rPr>
          <w:rFonts w:ascii="Arial" w:hAnsi="Arial"/>
          <w:sz w:val="22"/>
          <w:lang w:val="en-GB"/>
        </w:rPr>
        <w:t>The Royal College of Physicians of London</w:t>
      </w:r>
    </w:p>
    <w:p w:rsidR="00541AF3" w:rsidRPr="00EA761C" w:rsidRDefault="00541AF3" w:rsidP="00522D7B">
      <w:pPr>
        <w:spacing w:after="0"/>
        <w:ind w:left="3544"/>
        <w:rPr>
          <w:rFonts w:ascii="Arial" w:hAnsi="Arial"/>
          <w:sz w:val="22"/>
          <w:lang w:val="en-GB"/>
        </w:rPr>
      </w:pPr>
      <w:r w:rsidRPr="00EA761C">
        <w:rPr>
          <w:rFonts w:ascii="Arial" w:hAnsi="Arial"/>
          <w:sz w:val="22"/>
          <w:lang w:val="en-GB"/>
        </w:rPr>
        <w:t>The Royal College of Psychiatrists</w:t>
      </w:r>
    </w:p>
    <w:p w:rsidR="00541AF3" w:rsidRPr="00EA761C" w:rsidRDefault="00541AF3" w:rsidP="00522D7B">
      <w:pPr>
        <w:spacing w:after="0"/>
        <w:ind w:left="3544"/>
        <w:rPr>
          <w:rFonts w:ascii="Arial" w:hAnsi="Arial"/>
          <w:sz w:val="22"/>
          <w:lang w:val="en-GB"/>
        </w:rPr>
      </w:pPr>
      <w:r w:rsidRPr="00EA761C">
        <w:rPr>
          <w:rFonts w:ascii="Arial" w:hAnsi="Arial"/>
          <w:sz w:val="22"/>
          <w:lang w:val="en-GB"/>
        </w:rPr>
        <w:t>The Joint Committee on Surgical Training</w:t>
      </w:r>
    </w:p>
    <w:p w:rsidR="00541AF3" w:rsidRPr="00EA761C" w:rsidRDefault="00541AF3" w:rsidP="00522D7B">
      <w:pPr>
        <w:spacing w:after="0"/>
        <w:ind w:left="3544"/>
        <w:rPr>
          <w:rFonts w:ascii="Arial" w:hAnsi="Arial"/>
          <w:sz w:val="22"/>
          <w:lang w:val="en-GB"/>
        </w:rPr>
      </w:pPr>
      <w:r w:rsidRPr="00EA761C">
        <w:rPr>
          <w:rFonts w:ascii="Arial" w:hAnsi="Arial"/>
          <w:sz w:val="22"/>
          <w:lang w:val="en-GB"/>
        </w:rPr>
        <w:t xml:space="preserve">The </w:t>
      </w:r>
      <w:r w:rsidRPr="00EA761C">
        <w:rPr>
          <w:rFonts w:ascii="Arial" w:hAnsi="Arial"/>
          <w:bCs/>
          <w:sz w:val="22"/>
          <w:lang w:val="en-GB"/>
        </w:rPr>
        <w:t>Joint Royal Colleges of Physicians Training Board</w:t>
      </w:r>
    </w:p>
    <w:p w:rsidR="00541AF3" w:rsidRPr="00EA761C" w:rsidRDefault="00541AF3" w:rsidP="00522D7B">
      <w:pPr>
        <w:spacing w:after="120"/>
        <w:ind w:left="4320" w:hanging="4320"/>
        <w:rPr>
          <w:rFonts w:ascii="Arial" w:hAnsi="Arial"/>
          <w:sz w:val="22"/>
          <w:lang w:val="en-GB"/>
        </w:rPr>
      </w:pPr>
      <w:r w:rsidRPr="00EA761C">
        <w:rPr>
          <w:rFonts w:ascii="Arial" w:hAnsi="Arial"/>
          <w:sz w:val="22"/>
          <w:lang w:val="en-GB"/>
        </w:rPr>
        <w:t>Co-Opted Members from</w:t>
      </w:r>
      <w:r w:rsidRPr="00EA761C">
        <w:rPr>
          <w:rFonts w:ascii="Arial" w:hAnsi="Arial"/>
          <w:sz w:val="22"/>
          <w:lang w:val="en-GB"/>
        </w:rPr>
        <w:tab/>
      </w:r>
    </w:p>
    <w:p w:rsidR="00541AF3" w:rsidRPr="00EA761C" w:rsidRDefault="00541AF3" w:rsidP="00522D7B">
      <w:pPr>
        <w:spacing w:after="0"/>
        <w:ind w:left="4320" w:hanging="4320"/>
        <w:rPr>
          <w:rFonts w:ascii="Arial" w:hAnsi="Arial"/>
          <w:sz w:val="22"/>
          <w:lang w:val="en-GB"/>
        </w:rPr>
      </w:pPr>
      <w:r w:rsidRPr="00EA761C">
        <w:rPr>
          <w:rFonts w:ascii="Arial" w:hAnsi="Arial"/>
          <w:sz w:val="22"/>
          <w:lang w:val="en-GB"/>
        </w:rPr>
        <w:t xml:space="preserve">Chair of IBTPHEM Curriculum Development Group </w:t>
      </w:r>
      <w:r w:rsidRPr="00EA761C">
        <w:rPr>
          <w:rFonts w:ascii="Arial" w:hAnsi="Arial"/>
          <w:sz w:val="22"/>
          <w:lang w:val="en-GB"/>
        </w:rPr>
        <w:tab/>
      </w:r>
    </w:p>
    <w:p w:rsidR="00541AF3" w:rsidRPr="00EA761C" w:rsidRDefault="00541AF3" w:rsidP="00522D7B">
      <w:pPr>
        <w:spacing w:after="0"/>
        <w:rPr>
          <w:rFonts w:ascii="Arial" w:hAnsi="Arial"/>
          <w:sz w:val="22"/>
          <w:lang w:val="en-GB"/>
        </w:rPr>
      </w:pPr>
      <w:r w:rsidRPr="00EA761C">
        <w:rPr>
          <w:rFonts w:ascii="Arial" w:hAnsi="Arial"/>
          <w:sz w:val="22"/>
          <w:lang w:val="en-GB"/>
        </w:rPr>
        <w:t>The Conference of Postgraduate Medical Deans</w:t>
      </w:r>
    </w:p>
    <w:p w:rsidR="00541AF3" w:rsidRPr="00EA761C" w:rsidRDefault="00541AF3" w:rsidP="00522D7B">
      <w:pPr>
        <w:spacing w:after="0"/>
        <w:rPr>
          <w:rFonts w:ascii="Arial" w:hAnsi="Arial"/>
          <w:sz w:val="22"/>
          <w:lang w:val="en-GB"/>
        </w:rPr>
      </w:pPr>
      <w:r w:rsidRPr="00EA761C">
        <w:rPr>
          <w:rFonts w:ascii="Arial" w:hAnsi="Arial"/>
          <w:sz w:val="22"/>
          <w:lang w:val="en-GB"/>
        </w:rPr>
        <w:t>The Defence Medical Services</w:t>
      </w:r>
    </w:p>
    <w:p w:rsidR="00541AF3" w:rsidRPr="00EA761C" w:rsidRDefault="00541AF3" w:rsidP="00522D7B">
      <w:pPr>
        <w:spacing w:after="0"/>
        <w:rPr>
          <w:rFonts w:ascii="Arial" w:hAnsi="Arial"/>
          <w:sz w:val="22"/>
          <w:lang w:val="en-GB"/>
        </w:rPr>
      </w:pPr>
      <w:r w:rsidRPr="00EA761C">
        <w:rPr>
          <w:rFonts w:ascii="Arial" w:hAnsi="Arial"/>
          <w:sz w:val="22"/>
          <w:lang w:val="en-GB"/>
        </w:rPr>
        <w:t>The Departments of Health of England, Scotland, Northern Ireland and Wales (Joint Representative)</w:t>
      </w:r>
    </w:p>
    <w:p w:rsidR="00541AF3" w:rsidRPr="00EA761C" w:rsidRDefault="00541AF3" w:rsidP="00522D7B">
      <w:pPr>
        <w:spacing w:after="0"/>
        <w:rPr>
          <w:rFonts w:ascii="Arial" w:hAnsi="Arial"/>
          <w:sz w:val="22"/>
          <w:lang w:val="en-GB"/>
        </w:rPr>
      </w:pPr>
      <w:r w:rsidRPr="00EA761C">
        <w:rPr>
          <w:rFonts w:ascii="Arial" w:hAnsi="Arial"/>
          <w:sz w:val="22"/>
          <w:lang w:val="en-GB"/>
        </w:rPr>
        <w:t>The Inter-Collegiate Board for Training in Intensive Care Medicine</w:t>
      </w:r>
    </w:p>
    <w:p w:rsidR="00541AF3" w:rsidRPr="00EA761C" w:rsidRDefault="00541AF3" w:rsidP="00522D7B">
      <w:pPr>
        <w:spacing w:after="0"/>
        <w:rPr>
          <w:rFonts w:ascii="Arial" w:hAnsi="Arial"/>
          <w:sz w:val="22"/>
          <w:lang w:val="en-GB"/>
        </w:rPr>
      </w:pPr>
      <w:r w:rsidRPr="00EA761C">
        <w:rPr>
          <w:rFonts w:ascii="Arial" w:hAnsi="Arial"/>
          <w:sz w:val="22"/>
          <w:lang w:val="en-GB"/>
        </w:rPr>
        <w:t>Trainee</w:t>
      </w:r>
    </w:p>
    <w:p w:rsidR="00541AF3" w:rsidRPr="00EA761C" w:rsidRDefault="00541AF3" w:rsidP="00522D7B">
      <w:pPr>
        <w:spacing w:after="120"/>
        <w:jc w:val="both"/>
        <w:rPr>
          <w:rFonts w:ascii="Arial" w:hAnsi="Arial"/>
          <w:sz w:val="22"/>
          <w:lang w:val="en-GB"/>
        </w:rPr>
      </w:pPr>
      <w:r w:rsidRPr="00EA761C">
        <w:rPr>
          <w:rFonts w:ascii="Arial" w:hAnsi="Arial"/>
          <w:sz w:val="22"/>
          <w:lang w:val="en-GB"/>
        </w:rPr>
        <w:t xml:space="preserve">Lay representative </w:t>
      </w:r>
    </w:p>
    <w:p w:rsidR="00541AF3" w:rsidRPr="00EA761C" w:rsidRDefault="00541AF3" w:rsidP="00522D7B">
      <w:pPr>
        <w:spacing w:after="120"/>
        <w:rPr>
          <w:rFonts w:ascii="Arial" w:hAnsi="Arial"/>
          <w:sz w:val="22"/>
          <w:lang w:val="en-GB"/>
        </w:rPr>
      </w:pPr>
      <w:r w:rsidRPr="00EA761C">
        <w:rPr>
          <w:rFonts w:ascii="Arial" w:hAnsi="Arial"/>
          <w:sz w:val="22"/>
          <w:lang w:val="en-GB"/>
        </w:rPr>
        <w:t>Any additional co-optees required to inform discussions, as decided at a meeting of the Board.</w:t>
      </w:r>
    </w:p>
    <w:p w:rsidR="00541AF3" w:rsidRPr="00EA761C" w:rsidRDefault="00541AF3" w:rsidP="00522D7B">
      <w:pPr>
        <w:numPr>
          <w:ilvl w:val="0"/>
          <w:numId w:val="8"/>
        </w:numPr>
        <w:spacing w:after="120"/>
        <w:jc w:val="both"/>
        <w:rPr>
          <w:rFonts w:ascii="Arial" w:hAnsi="Arial"/>
          <w:sz w:val="22"/>
          <w:lang w:val="en-GB"/>
        </w:rPr>
      </w:pPr>
      <w:r w:rsidRPr="00EA761C">
        <w:rPr>
          <w:rFonts w:ascii="Arial" w:hAnsi="Arial"/>
          <w:sz w:val="22"/>
          <w:lang w:val="en-GB"/>
        </w:rPr>
        <w:t>Only full members of the Board shall be entitled to vote.  The Chairman shall not have an independent vote, but only a casting vote in the event of the votes on any matter otherwise being equal.</w:t>
      </w:r>
    </w:p>
    <w:p w:rsidR="00541AF3" w:rsidRPr="00EA761C" w:rsidRDefault="00541AF3" w:rsidP="00522D7B">
      <w:pPr>
        <w:numPr>
          <w:ilvl w:val="0"/>
          <w:numId w:val="8"/>
        </w:numPr>
        <w:spacing w:after="120"/>
        <w:jc w:val="both"/>
        <w:rPr>
          <w:rFonts w:ascii="Arial" w:hAnsi="Arial"/>
          <w:sz w:val="22"/>
          <w:lang w:val="en-GB"/>
        </w:rPr>
      </w:pPr>
      <w:r w:rsidRPr="00EA761C">
        <w:rPr>
          <w:rFonts w:ascii="Arial" w:hAnsi="Arial"/>
          <w:sz w:val="22"/>
          <w:lang w:val="en-GB"/>
        </w:rPr>
        <w:t>The Chairman, who shall be nominated by one of the Lead Colleges, shall serve for a maximum period of two years and may not be nominated for a second term.   The nominating body will rotate between the Royal College of Surgeons of Edinburgh (through the Faculty of Pre-Hospital Care), the College of Emergency Medicine, the Royal College of Anaesthetists and the Royal College of General Practitioners.</w:t>
      </w:r>
    </w:p>
    <w:p w:rsidR="00541AF3" w:rsidRPr="00EA761C" w:rsidRDefault="00541AF3" w:rsidP="00522D7B">
      <w:pPr>
        <w:numPr>
          <w:ilvl w:val="0"/>
          <w:numId w:val="8"/>
        </w:numPr>
        <w:spacing w:after="120"/>
        <w:jc w:val="both"/>
        <w:rPr>
          <w:rFonts w:ascii="Arial" w:hAnsi="Arial"/>
          <w:sz w:val="22"/>
          <w:lang w:val="en-GB"/>
        </w:rPr>
      </w:pPr>
      <w:r w:rsidRPr="00EA761C">
        <w:rPr>
          <w:rFonts w:ascii="Arial" w:hAnsi="Arial"/>
          <w:sz w:val="22"/>
          <w:lang w:val="en-GB"/>
        </w:rPr>
        <w:t>The new Chairman shall be nominated by the appropriate Lead College one year before the end of the serving Chairman’s term of office. The Chairman-elect will then serve as Vice-Chairman for that year. On completion of his/her term of office the retiring Chairman will serve as Vice-Chairman until the nomination of a Chairman-elect.</w:t>
      </w:r>
    </w:p>
    <w:p w:rsidR="00541AF3" w:rsidRPr="00EA761C" w:rsidRDefault="00541AF3" w:rsidP="00522D7B">
      <w:pPr>
        <w:numPr>
          <w:ilvl w:val="0"/>
          <w:numId w:val="8"/>
        </w:numPr>
        <w:spacing w:after="120"/>
        <w:jc w:val="both"/>
        <w:rPr>
          <w:rFonts w:ascii="Arial" w:hAnsi="Arial"/>
          <w:sz w:val="22"/>
          <w:lang w:val="en-GB"/>
        </w:rPr>
      </w:pPr>
      <w:r w:rsidRPr="00EA761C">
        <w:rPr>
          <w:rFonts w:ascii="Arial" w:hAnsi="Arial"/>
          <w:sz w:val="22"/>
          <w:lang w:val="en-GB"/>
        </w:rPr>
        <w:t>In the event of the Chairman relinquishing office during his or her first year of office the current Vice-Chairman will occupy the chair until a new Chairman has been nominated, to take office immediately, together with the nomination of a new Chairman-elect.</w:t>
      </w:r>
    </w:p>
    <w:p w:rsidR="00541AF3" w:rsidRPr="00EA761C" w:rsidRDefault="00541AF3" w:rsidP="00522D7B">
      <w:pPr>
        <w:numPr>
          <w:ilvl w:val="0"/>
          <w:numId w:val="8"/>
        </w:numPr>
        <w:spacing w:after="120"/>
        <w:jc w:val="both"/>
        <w:rPr>
          <w:rFonts w:ascii="Arial" w:hAnsi="Arial"/>
          <w:sz w:val="22"/>
          <w:lang w:val="en-GB"/>
        </w:rPr>
      </w:pPr>
      <w:r w:rsidRPr="00EA761C">
        <w:rPr>
          <w:rFonts w:ascii="Arial" w:hAnsi="Arial"/>
          <w:sz w:val="22"/>
          <w:lang w:val="en-GB"/>
        </w:rPr>
        <w:t>In the event of the Chairman relinquishing office during his or her second year of office the current Vice-Chairman will assume the chair for a two-year term and a new Vice-Chairman will be nominated at the earliest opportunity.</w:t>
      </w:r>
    </w:p>
    <w:p w:rsidR="00541AF3" w:rsidRPr="00EA761C" w:rsidRDefault="00541AF3" w:rsidP="00522D7B">
      <w:pPr>
        <w:numPr>
          <w:ilvl w:val="0"/>
          <w:numId w:val="8"/>
        </w:numPr>
        <w:jc w:val="both"/>
        <w:rPr>
          <w:rFonts w:ascii="Arial" w:hAnsi="Arial"/>
          <w:sz w:val="22"/>
          <w:lang w:val="en-GB"/>
        </w:rPr>
      </w:pPr>
      <w:r w:rsidRPr="00EA761C">
        <w:rPr>
          <w:rFonts w:ascii="Arial" w:hAnsi="Arial"/>
          <w:sz w:val="22"/>
          <w:lang w:val="en-GB"/>
        </w:rPr>
        <w:t>If the nominated period of a member of the Board who is subsequently nominated as Chairman or Vice-Chairman expires before the end of the term of office, then he/she will extend his/her period on the Board to complete a full term as Chairman or Vice-Chairman.</w:t>
      </w:r>
    </w:p>
    <w:p w:rsidR="00541AF3" w:rsidRPr="00EA761C" w:rsidRDefault="00541AF3" w:rsidP="00522D7B">
      <w:pPr>
        <w:numPr>
          <w:ilvl w:val="0"/>
          <w:numId w:val="8"/>
        </w:numPr>
        <w:spacing w:after="120"/>
        <w:jc w:val="both"/>
        <w:rPr>
          <w:rFonts w:ascii="Arial" w:hAnsi="Arial"/>
          <w:sz w:val="22"/>
          <w:lang w:val="en-GB"/>
        </w:rPr>
      </w:pPr>
      <w:r w:rsidRPr="00EA761C">
        <w:rPr>
          <w:rFonts w:ascii="Arial" w:hAnsi="Arial"/>
          <w:sz w:val="22"/>
          <w:lang w:val="en-GB"/>
        </w:rPr>
        <w:t>Members shall serve for three years and, if nominated again by their nominating body, will be eligible to serve for one more term of the same period.  No Board member may serve for longer than a total of six years, excluding any period spent as Chairman or Vice-Chairman.</w:t>
      </w:r>
    </w:p>
    <w:p w:rsidR="00541AF3" w:rsidRPr="00EA761C" w:rsidRDefault="00541AF3" w:rsidP="00522D7B">
      <w:pPr>
        <w:numPr>
          <w:ilvl w:val="0"/>
          <w:numId w:val="8"/>
        </w:numPr>
        <w:spacing w:after="120"/>
        <w:jc w:val="both"/>
        <w:rPr>
          <w:rFonts w:ascii="Arial" w:hAnsi="Arial"/>
          <w:sz w:val="22"/>
          <w:lang w:val="en-GB"/>
        </w:rPr>
      </w:pPr>
      <w:r w:rsidRPr="00EA761C">
        <w:rPr>
          <w:rFonts w:ascii="Arial" w:hAnsi="Arial"/>
          <w:sz w:val="22"/>
          <w:lang w:val="en-GB"/>
        </w:rPr>
        <w:t>In the event of a member ceasing, for whatever reason, to be a member of the Board before the completion of the term of service for which that member was nominated, the body responsible for the nomination shall nominate another person to serve for the unexpired period of the term.  Such a term of office shall be disregarded in relation to any subsequent term or terms of service for which that person may be nominated.</w:t>
      </w:r>
    </w:p>
    <w:p w:rsidR="00541AF3" w:rsidRPr="00EA761C" w:rsidRDefault="00541AF3" w:rsidP="00522D7B">
      <w:pPr>
        <w:numPr>
          <w:ilvl w:val="0"/>
          <w:numId w:val="8"/>
        </w:numPr>
        <w:spacing w:after="120"/>
        <w:jc w:val="both"/>
        <w:rPr>
          <w:rFonts w:ascii="Arial" w:hAnsi="Arial"/>
          <w:sz w:val="22"/>
          <w:lang w:val="en-GB"/>
        </w:rPr>
      </w:pPr>
      <w:r w:rsidRPr="00EA761C">
        <w:rPr>
          <w:rFonts w:ascii="Arial" w:hAnsi="Arial"/>
          <w:sz w:val="22"/>
          <w:lang w:val="en-GB"/>
        </w:rPr>
        <w:t>A single nominated member from another interested Faculty or College may be appointed to the Board at some future date, with the agreement of a two thirds majority of the current Board members.</w:t>
      </w:r>
    </w:p>
    <w:p w:rsidR="00541AF3" w:rsidRPr="00EA761C" w:rsidRDefault="00541AF3" w:rsidP="00522D7B">
      <w:pPr>
        <w:spacing w:after="120"/>
        <w:jc w:val="both"/>
        <w:rPr>
          <w:rFonts w:ascii="Arial" w:hAnsi="Arial"/>
          <w:b/>
          <w:sz w:val="22"/>
          <w:lang w:val="en-GB"/>
        </w:rPr>
      </w:pPr>
      <w:r w:rsidRPr="00EA761C">
        <w:rPr>
          <w:rFonts w:ascii="Arial" w:hAnsi="Arial"/>
          <w:b/>
          <w:sz w:val="22"/>
          <w:lang w:val="en-GB"/>
        </w:rPr>
        <w:t>The Powers, Objects and Functions of the Board</w:t>
      </w:r>
    </w:p>
    <w:p w:rsidR="00541AF3" w:rsidRPr="00EA761C" w:rsidRDefault="00541AF3" w:rsidP="00522D7B">
      <w:pPr>
        <w:spacing w:after="120"/>
        <w:jc w:val="both"/>
        <w:rPr>
          <w:rFonts w:ascii="Arial" w:hAnsi="Arial"/>
          <w:sz w:val="22"/>
          <w:lang w:val="en-GB"/>
        </w:rPr>
      </w:pPr>
      <w:r w:rsidRPr="00EA761C">
        <w:rPr>
          <w:rFonts w:ascii="Arial" w:hAnsi="Arial"/>
          <w:sz w:val="22"/>
          <w:lang w:val="en-GB"/>
        </w:rPr>
        <w:t>3. The powers of the Board shall be such as may be delegated to it by the Colleges and Faculties on all matters related to training in Pre-Hospital Emergency Medicine whether to be exercised by the formulation of recommendations by the Board subject to the approval of and, where appropriate, amendment by the Colleges and Faculties, before being put into effect by the Board or whether, when the delegation so provides, by the taking of decisions to be given effect directly by the Board without the requirement of such prior approval.  Such further powers may from time to time be delegated to the Board by the Colleges and Faculties, as may be necessary for the proper performance of the functions specified in these terms of reference.</w:t>
      </w:r>
    </w:p>
    <w:p w:rsidR="00541AF3" w:rsidRPr="00EA761C" w:rsidRDefault="00541AF3" w:rsidP="00522D7B">
      <w:pPr>
        <w:spacing w:after="120"/>
        <w:rPr>
          <w:rFonts w:ascii="Arial" w:hAnsi="Arial"/>
          <w:b/>
          <w:sz w:val="22"/>
          <w:lang w:val="en-GB"/>
        </w:rPr>
      </w:pPr>
      <w:r w:rsidRPr="00EA761C">
        <w:rPr>
          <w:rFonts w:ascii="Arial" w:hAnsi="Arial"/>
          <w:b/>
          <w:sz w:val="22"/>
          <w:lang w:val="en-GB"/>
        </w:rPr>
        <w:t>Functions Relating to Scope and Status of Pre Hospital Emergency Medicine</w:t>
      </w:r>
    </w:p>
    <w:p w:rsidR="00541AF3" w:rsidRPr="00EA761C" w:rsidRDefault="00541AF3" w:rsidP="00522D7B">
      <w:pPr>
        <w:spacing w:after="120"/>
        <w:jc w:val="both"/>
        <w:rPr>
          <w:rFonts w:ascii="Arial" w:hAnsi="Arial"/>
          <w:sz w:val="22"/>
          <w:lang w:val="en-GB"/>
        </w:rPr>
      </w:pPr>
      <w:r w:rsidRPr="00EA761C">
        <w:rPr>
          <w:rFonts w:ascii="Arial" w:hAnsi="Arial"/>
          <w:sz w:val="22"/>
          <w:lang w:val="en-GB"/>
        </w:rPr>
        <w:t>4. Included amongst the matters delegated to the Board by the Colleges and Faculties shall be the functions of:</w:t>
      </w:r>
    </w:p>
    <w:p w:rsidR="00541AF3" w:rsidRPr="00EA761C" w:rsidRDefault="00541AF3" w:rsidP="00522D7B">
      <w:pPr>
        <w:numPr>
          <w:ilvl w:val="0"/>
          <w:numId w:val="9"/>
        </w:numPr>
        <w:tabs>
          <w:tab w:val="clear" w:pos="1080"/>
        </w:tabs>
        <w:spacing w:after="120"/>
        <w:ind w:left="709" w:hanging="709"/>
        <w:jc w:val="both"/>
        <w:rPr>
          <w:rFonts w:ascii="Arial" w:hAnsi="Arial"/>
          <w:sz w:val="22"/>
          <w:lang w:val="en-GB"/>
        </w:rPr>
      </w:pPr>
      <w:r w:rsidRPr="00EA761C">
        <w:rPr>
          <w:rFonts w:ascii="Arial" w:hAnsi="Arial"/>
          <w:sz w:val="22"/>
          <w:lang w:val="en-GB"/>
        </w:rPr>
        <w:t>Keeping the definition of pre-hospital emergency medicine under review and,  if it should appear necessary or desirable, of making, from time to time appropriate modifications to the definition having, when necessary, undertaken such consultations for that purpose as shall appear desirable to the Board.</w:t>
      </w:r>
    </w:p>
    <w:p w:rsidR="00541AF3" w:rsidRPr="00EA761C" w:rsidRDefault="00541AF3" w:rsidP="00522D7B">
      <w:pPr>
        <w:spacing w:after="120"/>
        <w:jc w:val="both"/>
        <w:rPr>
          <w:rFonts w:ascii="Arial" w:hAnsi="Arial"/>
          <w:sz w:val="22"/>
          <w:lang w:val="en-GB"/>
        </w:rPr>
      </w:pPr>
      <w:r w:rsidRPr="00EA761C">
        <w:rPr>
          <w:rFonts w:ascii="Arial" w:hAnsi="Arial"/>
          <w:sz w:val="22"/>
          <w:lang w:val="en-GB"/>
        </w:rPr>
        <w:t xml:space="preserve">In addition: </w:t>
      </w:r>
    </w:p>
    <w:p w:rsidR="00541AF3" w:rsidRPr="00EA761C" w:rsidRDefault="00541AF3" w:rsidP="00522D7B">
      <w:pPr>
        <w:spacing w:after="120"/>
        <w:jc w:val="both"/>
        <w:rPr>
          <w:rFonts w:ascii="Arial" w:hAnsi="Arial"/>
          <w:sz w:val="22"/>
          <w:lang w:val="en-GB"/>
        </w:rPr>
      </w:pPr>
      <w:r w:rsidRPr="00EA761C">
        <w:rPr>
          <w:rFonts w:ascii="Arial" w:hAnsi="Arial"/>
          <w:sz w:val="22"/>
          <w:lang w:val="en-GB"/>
        </w:rPr>
        <w:t>5. The Principal Objects and Functions of the Board, within the terms of the delegation by the Colleges and Faculties, shall be:</w:t>
      </w:r>
    </w:p>
    <w:p w:rsidR="00541AF3" w:rsidRPr="00EA761C" w:rsidRDefault="00541AF3" w:rsidP="00522D7B">
      <w:pPr>
        <w:spacing w:after="120"/>
        <w:jc w:val="both"/>
        <w:rPr>
          <w:rFonts w:ascii="Arial" w:hAnsi="Arial"/>
          <w:sz w:val="22"/>
          <w:lang w:val="en-GB"/>
        </w:rPr>
      </w:pPr>
      <w:r w:rsidRPr="00EA761C">
        <w:rPr>
          <w:rFonts w:ascii="Arial" w:hAnsi="Arial"/>
          <w:sz w:val="22"/>
          <w:lang w:val="en-GB"/>
        </w:rPr>
        <w:t>(a) to keep under review the practice of pre-hospital emergency medicine;</w:t>
      </w:r>
    </w:p>
    <w:p w:rsidR="00541AF3" w:rsidRPr="00EA761C" w:rsidRDefault="00541AF3" w:rsidP="00522D7B">
      <w:pPr>
        <w:spacing w:after="120"/>
        <w:jc w:val="both"/>
        <w:rPr>
          <w:rFonts w:ascii="Arial" w:hAnsi="Arial"/>
          <w:sz w:val="22"/>
          <w:lang w:val="en-GB"/>
        </w:rPr>
      </w:pPr>
      <w:r w:rsidRPr="00EA761C">
        <w:rPr>
          <w:rFonts w:ascii="Arial" w:hAnsi="Arial"/>
          <w:sz w:val="22"/>
          <w:lang w:val="en-GB"/>
        </w:rPr>
        <w:t xml:space="preserve">(b) to determine the duration, content and assessment of training in pre-hospital emergency medicine and make recommendations to individual Colleges, Faculties and to the Postgraduate Medical Education and Training Board; </w:t>
      </w:r>
    </w:p>
    <w:p w:rsidR="00541AF3" w:rsidRPr="00EA761C" w:rsidRDefault="00541AF3" w:rsidP="00522D7B">
      <w:pPr>
        <w:spacing w:after="120"/>
        <w:jc w:val="both"/>
        <w:rPr>
          <w:rFonts w:ascii="Arial" w:hAnsi="Arial"/>
          <w:sz w:val="22"/>
          <w:lang w:val="en-GB"/>
        </w:rPr>
      </w:pPr>
      <w:r w:rsidRPr="00EA761C">
        <w:rPr>
          <w:rFonts w:ascii="Arial" w:hAnsi="Arial"/>
          <w:sz w:val="22"/>
          <w:lang w:val="en-GB"/>
        </w:rPr>
        <w:t>(c) to recommend minimum standards for training in an environment recognised for training by the relevant Colleges and Faculties;</w:t>
      </w:r>
    </w:p>
    <w:p w:rsidR="00541AF3" w:rsidRPr="00EA761C" w:rsidRDefault="00541AF3" w:rsidP="00522D7B">
      <w:pPr>
        <w:spacing w:after="120"/>
        <w:jc w:val="both"/>
        <w:rPr>
          <w:rFonts w:ascii="Arial" w:hAnsi="Arial"/>
          <w:sz w:val="22"/>
          <w:lang w:val="en-GB"/>
        </w:rPr>
      </w:pPr>
      <w:r w:rsidRPr="00EA761C">
        <w:rPr>
          <w:rFonts w:ascii="Arial" w:hAnsi="Arial"/>
          <w:sz w:val="22"/>
          <w:lang w:val="en-GB"/>
        </w:rPr>
        <w:t>(d) to act, if requested, as the advisory body to PMETB on applications received by the Colleges and Faculties, from individual training units for recognition for training purposes;</w:t>
      </w:r>
    </w:p>
    <w:p w:rsidR="00541AF3" w:rsidRPr="00EA761C" w:rsidRDefault="00541AF3" w:rsidP="00522D7B">
      <w:pPr>
        <w:spacing w:after="120"/>
        <w:jc w:val="both"/>
        <w:rPr>
          <w:rFonts w:ascii="Arial" w:hAnsi="Arial"/>
          <w:sz w:val="22"/>
          <w:lang w:val="en-GB"/>
        </w:rPr>
      </w:pPr>
      <w:r w:rsidRPr="00EA761C">
        <w:rPr>
          <w:rFonts w:ascii="Arial" w:hAnsi="Arial"/>
          <w:sz w:val="22"/>
          <w:lang w:val="en-GB"/>
        </w:rPr>
        <w:t>(e) to exercise in relation to pre-hospital emergency medicine such other training  and education functions on behalf of the Colleges and Faculties as would be relevant to a sub specialty;</w:t>
      </w:r>
    </w:p>
    <w:p w:rsidR="00541AF3" w:rsidRPr="00EA761C" w:rsidRDefault="00541AF3" w:rsidP="00522D7B">
      <w:pPr>
        <w:jc w:val="both"/>
        <w:rPr>
          <w:rFonts w:ascii="Arial" w:hAnsi="Arial"/>
          <w:sz w:val="22"/>
          <w:lang w:val="en-GB"/>
        </w:rPr>
      </w:pPr>
      <w:r w:rsidRPr="00EA761C">
        <w:rPr>
          <w:rFonts w:ascii="Arial" w:hAnsi="Arial"/>
          <w:sz w:val="22"/>
          <w:lang w:val="en-GB"/>
        </w:rPr>
        <w:t xml:space="preserve">(f) to institute, through the Colleges and Faculties and in conjunction with PMETB, mechanisms of accreditation and assessment, as required, for awarding qualifications in pre-hospital emergency medicine. </w:t>
      </w:r>
    </w:p>
    <w:p w:rsidR="00541AF3" w:rsidRPr="00EA761C" w:rsidRDefault="00541AF3" w:rsidP="00522D7B">
      <w:pPr>
        <w:spacing w:after="120"/>
        <w:jc w:val="both"/>
        <w:rPr>
          <w:rFonts w:ascii="Arial" w:hAnsi="Arial"/>
          <w:b/>
          <w:sz w:val="22"/>
          <w:lang w:val="en-GB"/>
        </w:rPr>
      </w:pPr>
      <w:r w:rsidRPr="00EA761C">
        <w:rPr>
          <w:rFonts w:ascii="Arial" w:hAnsi="Arial"/>
          <w:sz w:val="22"/>
          <w:lang w:val="en-GB"/>
        </w:rPr>
        <w:t xml:space="preserve">6. </w:t>
      </w:r>
      <w:r w:rsidRPr="00EA761C">
        <w:rPr>
          <w:rFonts w:ascii="Arial" w:hAnsi="Arial"/>
          <w:b/>
          <w:sz w:val="22"/>
          <w:lang w:val="en-GB"/>
        </w:rPr>
        <w:t>Administration</w:t>
      </w:r>
    </w:p>
    <w:p w:rsidR="00541AF3" w:rsidRPr="0084308F" w:rsidRDefault="00541AF3" w:rsidP="00522D7B">
      <w:pPr>
        <w:spacing w:after="120"/>
        <w:jc w:val="both"/>
        <w:rPr>
          <w:rFonts w:ascii="Arial" w:hAnsi="Arial"/>
          <w:sz w:val="22"/>
        </w:rPr>
      </w:pPr>
      <w:r w:rsidRPr="0084308F">
        <w:rPr>
          <w:rFonts w:ascii="Arial" w:hAnsi="Arial"/>
          <w:sz w:val="22"/>
        </w:rPr>
        <w:t>(a) It shall be a function of the Board to initiate and keep under review the administrative arrangements necessary for the performance of the Board’s function.</w:t>
      </w:r>
    </w:p>
    <w:p w:rsidR="00541AF3" w:rsidRPr="0084308F" w:rsidRDefault="00541AF3" w:rsidP="00522D7B">
      <w:pPr>
        <w:spacing w:after="120"/>
        <w:jc w:val="both"/>
        <w:rPr>
          <w:rFonts w:ascii="Arial" w:hAnsi="Arial"/>
          <w:sz w:val="22"/>
        </w:rPr>
      </w:pPr>
      <w:r w:rsidRPr="0084308F">
        <w:rPr>
          <w:rFonts w:ascii="Arial" w:hAnsi="Arial"/>
          <w:sz w:val="22"/>
        </w:rPr>
        <w:t>(b) One of the Lead Colleges will act as agent for the Board for the purpose of ensuring compliance with regulatory matters including annual sub-specialty reporting. This Lead College will ordinarily be the College that holds the chair.</w:t>
      </w:r>
    </w:p>
    <w:p w:rsidR="00541AF3" w:rsidRPr="00EA761C" w:rsidRDefault="00541AF3" w:rsidP="00522D7B">
      <w:pPr>
        <w:spacing w:after="120"/>
        <w:jc w:val="both"/>
        <w:rPr>
          <w:rFonts w:ascii="Arial" w:hAnsi="Arial"/>
          <w:b/>
          <w:sz w:val="22"/>
          <w:lang w:val="en-GB"/>
        </w:rPr>
      </w:pPr>
      <w:r w:rsidRPr="00EA761C">
        <w:rPr>
          <w:rFonts w:ascii="Arial" w:hAnsi="Arial"/>
          <w:sz w:val="22"/>
          <w:lang w:val="en-GB"/>
        </w:rPr>
        <w:t xml:space="preserve">7. </w:t>
      </w:r>
      <w:r w:rsidRPr="00EA761C">
        <w:rPr>
          <w:rFonts w:ascii="Arial" w:hAnsi="Arial"/>
          <w:b/>
          <w:sz w:val="22"/>
          <w:lang w:val="en-GB"/>
        </w:rPr>
        <w:t>Finances</w:t>
      </w:r>
    </w:p>
    <w:p w:rsidR="00541AF3" w:rsidRPr="00EA761C" w:rsidRDefault="00541AF3" w:rsidP="00522D7B">
      <w:pPr>
        <w:spacing w:after="120"/>
        <w:jc w:val="both"/>
        <w:rPr>
          <w:rFonts w:ascii="Arial" w:hAnsi="Arial"/>
          <w:sz w:val="22"/>
          <w:lang w:val="en-GB"/>
        </w:rPr>
      </w:pPr>
      <w:r w:rsidRPr="00EA761C">
        <w:rPr>
          <w:rFonts w:ascii="Arial" w:hAnsi="Arial"/>
          <w:sz w:val="22"/>
          <w:lang w:val="en-GB"/>
        </w:rPr>
        <w:t xml:space="preserve">It shall be a function of the Lead Colleges to approve the recommendations of the Board, concerning the funds needed for administration, accommodation and other costs, including, for example, those connected with members’ expenses, registration of trainees, the development of databases, the conduct of assessment procedures and meetings of advisors.   The Board will prepare regular budgets for those costs and oversee the receipt and expenditure of all sums connected therewith.  In exercising this function it will be the responsibility of the Board to achieve the greatest possible economy and at the same time to seek to make the activities of the Board self-financing.  </w:t>
      </w:r>
    </w:p>
    <w:p w:rsidR="00541AF3" w:rsidRPr="00EA761C" w:rsidRDefault="00541AF3" w:rsidP="00522D7B">
      <w:pPr>
        <w:spacing w:after="120"/>
        <w:jc w:val="both"/>
        <w:rPr>
          <w:rFonts w:ascii="Arial" w:hAnsi="Arial"/>
          <w:sz w:val="22"/>
          <w:lang w:val="en-GB"/>
        </w:rPr>
      </w:pPr>
      <w:r w:rsidRPr="00EA761C">
        <w:rPr>
          <w:rFonts w:ascii="Arial" w:hAnsi="Arial"/>
          <w:sz w:val="22"/>
          <w:lang w:val="en-GB"/>
        </w:rPr>
        <w:t xml:space="preserve">To this end the Board will produce a detailed annual budget delineating its proposals for the generation of income from its activities, by such means as fees in respect of registration for training and of admission to formal assessment procedures, charging for publications where appropriate, and through the recovery of expenses in relation to visits to units on behalf of PMETB for the purpose of assessment and approval.  </w:t>
      </w:r>
    </w:p>
    <w:p w:rsidR="00541AF3" w:rsidRPr="00EA761C" w:rsidRDefault="00541AF3" w:rsidP="00522D7B">
      <w:pPr>
        <w:spacing w:after="120"/>
        <w:jc w:val="both"/>
        <w:rPr>
          <w:rFonts w:ascii="Arial" w:hAnsi="Arial"/>
          <w:sz w:val="22"/>
          <w:lang w:val="en-GB"/>
        </w:rPr>
      </w:pPr>
      <w:r w:rsidRPr="00EA761C">
        <w:rPr>
          <w:rFonts w:ascii="Arial" w:hAnsi="Arial"/>
          <w:sz w:val="22"/>
          <w:lang w:val="en-GB"/>
        </w:rPr>
        <w:t>One of the Lead Colleges will act as agent for the Board for the purpose of receiving, holding and expending any monies, subject to the recovery of any sums in accordance with the aforementioned agreement.  This College shall furnish the other Lead Colleges with periodical statements of accounts at intervals of not more than one year.</w:t>
      </w:r>
    </w:p>
    <w:p w:rsidR="00541AF3" w:rsidRPr="00EA761C" w:rsidRDefault="00541AF3" w:rsidP="00522D7B">
      <w:pPr>
        <w:spacing w:after="120"/>
        <w:jc w:val="both"/>
        <w:rPr>
          <w:rFonts w:ascii="Arial" w:hAnsi="Arial"/>
          <w:sz w:val="22"/>
          <w:lang w:val="en-GB"/>
        </w:rPr>
      </w:pPr>
      <w:r w:rsidRPr="00EA761C">
        <w:rPr>
          <w:rFonts w:ascii="Arial" w:hAnsi="Arial"/>
          <w:sz w:val="22"/>
          <w:lang w:val="en-GB"/>
        </w:rPr>
        <w:t>Any proposed initiative or other action on the part of the Board, that would lead to an overspend of the planned and agreed budget, must be agreed in advance by the Lead Colleges.    Unforeseen circumstances, that would lead to an overspend of the planned and agreed budget must be brought to the notice of the Lead Colleges immediately.    The costs associated with the Board’s activities will be met by the Lead Colleges on a pro rata basis, depending upon the relative number of Board members from each Lead College.   With each Lead College having two Board members, the current share will be 25% of the total.</w:t>
      </w:r>
    </w:p>
    <w:p w:rsidR="00541AF3" w:rsidRPr="00EA761C" w:rsidRDefault="00541AF3" w:rsidP="00522D7B">
      <w:pPr>
        <w:spacing w:after="120"/>
        <w:jc w:val="both"/>
        <w:rPr>
          <w:rFonts w:ascii="Arial" w:hAnsi="Arial"/>
          <w:sz w:val="22"/>
          <w:lang w:val="en-GB"/>
        </w:rPr>
      </w:pPr>
      <w:r w:rsidRPr="00EA761C">
        <w:rPr>
          <w:rFonts w:ascii="Arial" w:hAnsi="Arial"/>
          <w:sz w:val="22"/>
          <w:lang w:val="en-GB"/>
        </w:rPr>
        <w:t>Travel and subsistence costs will be borne by those Colleges, Faculties and organisations represented by the individual Board members.</w:t>
      </w:r>
    </w:p>
    <w:p w:rsidR="00541AF3" w:rsidRPr="00EA761C" w:rsidRDefault="00541AF3" w:rsidP="00522D7B">
      <w:pPr>
        <w:spacing w:after="120"/>
        <w:jc w:val="both"/>
        <w:rPr>
          <w:rFonts w:ascii="Arial" w:hAnsi="Arial"/>
          <w:b/>
          <w:sz w:val="22"/>
          <w:lang w:val="en-GB"/>
        </w:rPr>
      </w:pPr>
      <w:r w:rsidRPr="00EA761C">
        <w:rPr>
          <w:rFonts w:ascii="Arial" w:hAnsi="Arial"/>
          <w:b/>
          <w:sz w:val="22"/>
          <w:lang w:val="en-GB"/>
        </w:rPr>
        <w:t>General Professional Responsibilities</w:t>
      </w:r>
    </w:p>
    <w:p w:rsidR="00541AF3" w:rsidRPr="00EA761C" w:rsidRDefault="00541AF3" w:rsidP="00522D7B">
      <w:pPr>
        <w:spacing w:after="120"/>
        <w:jc w:val="both"/>
        <w:rPr>
          <w:rFonts w:ascii="Arial" w:hAnsi="Arial"/>
          <w:sz w:val="22"/>
          <w:lang w:val="en-GB"/>
        </w:rPr>
      </w:pPr>
      <w:r w:rsidRPr="00EA761C">
        <w:rPr>
          <w:rFonts w:ascii="Arial" w:hAnsi="Arial"/>
          <w:sz w:val="22"/>
          <w:lang w:val="en-GB"/>
        </w:rPr>
        <w:t xml:space="preserve">8. All members of the Board will be responsible for its professional activities.   The Lead Colleges will be additionally responsible for the governance of the Board’s activities, in terms of its financial responsibilities and professional indemnity. </w:t>
      </w:r>
    </w:p>
    <w:p w:rsidR="00541AF3" w:rsidRPr="00EA761C" w:rsidRDefault="00541AF3" w:rsidP="00522D7B">
      <w:pPr>
        <w:spacing w:after="120"/>
        <w:jc w:val="both"/>
        <w:rPr>
          <w:rFonts w:ascii="Arial" w:hAnsi="Arial"/>
          <w:sz w:val="22"/>
          <w:lang w:val="en-GB"/>
        </w:rPr>
      </w:pPr>
      <w:r w:rsidRPr="00EA761C">
        <w:rPr>
          <w:rFonts w:ascii="Arial" w:hAnsi="Arial"/>
          <w:sz w:val="22"/>
          <w:lang w:val="en-GB"/>
        </w:rPr>
        <w:t>The Board shall:</w:t>
      </w:r>
    </w:p>
    <w:p w:rsidR="00541AF3" w:rsidRPr="00EA761C" w:rsidRDefault="00541AF3" w:rsidP="00522D7B">
      <w:pPr>
        <w:numPr>
          <w:ilvl w:val="0"/>
          <w:numId w:val="10"/>
        </w:numPr>
        <w:spacing w:after="120"/>
        <w:ind w:left="567" w:hanging="567"/>
        <w:jc w:val="both"/>
        <w:rPr>
          <w:rFonts w:ascii="Arial" w:hAnsi="Arial"/>
          <w:sz w:val="22"/>
          <w:lang w:val="en-GB"/>
        </w:rPr>
      </w:pPr>
      <w:r w:rsidRPr="00EA761C">
        <w:rPr>
          <w:rFonts w:ascii="Arial" w:hAnsi="Arial"/>
          <w:sz w:val="22"/>
          <w:lang w:val="en-GB"/>
        </w:rPr>
        <w:t>take any action necessary, not specifically indicated in the foregoing functions, to meet any requirement resulting from the provisions of the European Specialist Medical Qualifications Order 1995, and</w:t>
      </w:r>
    </w:p>
    <w:p w:rsidR="00541AF3" w:rsidRPr="00EA761C" w:rsidRDefault="00541AF3" w:rsidP="00522D7B">
      <w:pPr>
        <w:numPr>
          <w:ilvl w:val="0"/>
          <w:numId w:val="10"/>
        </w:numPr>
        <w:spacing w:after="120"/>
        <w:ind w:left="567" w:hanging="567"/>
        <w:jc w:val="both"/>
        <w:rPr>
          <w:rFonts w:ascii="Arial" w:hAnsi="Arial"/>
          <w:sz w:val="22"/>
          <w:lang w:val="en-GB"/>
        </w:rPr>
      </w:pPr>
      <w:r w:rsidRPr="00EA761C">
        <w:rPr>
          <w:rFonts w:ascii="Arial" w:hAnsi="Arial"/>
          <w:sz w:val="22"/>
          <w:lang w:val="en-GB"/>
        </w:rPr>
        <w:t>Act in accordance with any lawful requirements of the General and Specialist  Medical Practice (Education, Training and Qualifications) Order 2003, the General Medical Council or the Colleges.</w:t>
      </w:r>
    </w:p>
    <w:p w:rsidR="00541AF3" w:rsidRPr="00EA761C" w:rsidRDefault="00541AF3" w:rsidP="00522D7B">
      <w:pPr>
        <w:spacing w:after="120"/>
        <w:jc w:val="both"/>
        <w:rPr>
          <w:rFonts w:ascii="Arial" w:hAnsi="Arial"/>
          <w:b/>
          <w:sz w:val="22"/>
          <w:lang w:val="en-GB"/>
        </w:rPr>
      </w:pPr>
      <w:r w:rsidRPr="00EA761C">
        <w:rPr>
          <w:rFonts w:ascii="Arial" w:hAnsi="Arial"/>
          <w:b/>
          <w:sz w:val="22"/>
          <w:lang w:val="en-GB"/>
        </w:rPr>
        <w:t>Future Revisions</w:t>
      </w:r>
    </w:p>
    <w:p w:rsidR="00541AF3" w:rsidRPr="00EA761C" w:rsidRDefault="00541AF3" w:rsidP="00522D7B">
      <w:pPr>
        <w:spacing w:after="120"/>
        <w:jc w:val="both"/>
        <w:rPr>
          <w:rFonts w:ascii="Arial" w:hAnsi="Arial"/>
          <w:sz w:val="22"/>
          <w:lang w:val="en-GB"/>
        </w:rPr>
      </w:pPr>
      <w:r w:rsidRPr="00EA761C">
        <w:rPr>
          <w:rFonts w:ascii="Arial" w:hAnsi="Arial"/>
          <w:sz w:val="22"/>
          <w:lang w:val="en-GB"/>
        </w:rPr>
        <w:t>9. Any recommendations from the Board for changes to the constitution shall be put to the Colleges and Faculties for their approval.</w:t>
      </w:r>
    </w:p>
    <w:p w:rsidR="00541AF3" w:rsidRPr="00EA761C" w:rsidRDefault="00541AF3" w:rsidP="00522D7B">
      <w:pPr>
        <w:spacing w:after="120"/>
        <w:jc w:val="both"/>
        <w:rPr>
          <w:rFonts w:ascii="Arial" w:hAnsi="Arial"/>
          <w:sz w:val="22"/>
          <w:lang w:val="en-GB"/>
        </w:rPr>
      </w:pPr>
      <w:r w:rsidRPr="00EA761C">
        <w:rPr>
          <w:rFonts w:ascii="Arial" w:hAnsi="Arial"/>
          <w:sz w:val="22"/>
          <w:lang w:val="en-GB"/>
        </w:rPr>
        <w:t xml:space="preserve"> 10. The constitution shall be regularly reviewed by the Board and, in the first instance, two years after inception of the Board’s activities.</w:t>
      </w:r>
    </w:p>
    <w:p w:rsidR="00541AF3" w:rsidRPr="00EA761C" w:rsidRDefault="00541AF3" w:rsidP="00522D7B">
      <w:pPr>
        <w:jc w:val="both"/>
        <w:rPr>
          <w:rFonts w:ascii="Arial" w:hAnsi="Arial"/>
          <w:sz w:val="22"/>
        </w:rPr>
      </w:pPr>
      <w:r>
        <w:rPr>
          <w:rFonts w:ascii="Arial" w:hAnsi="Arial"/>
          <w:sz w:val="22"/>
        </w:rPr>
        <w:t>December 2010</w:t>
      </w:r>
    </w:p>
    <w:p w:rsidR="00541AF3" w:rsidRPr="00EA761C" w:rsidRDefault="00541AF3" w:rsidP="00522D7B">
      <w:pPr>
        <w:spacing w:after="120"/>
        <w:jc w:val="both"/>
        <w:rPr>
          <w:rFonts w:ascii="Arial" w:hAnsi="Arial"/>
          <w:b/>
          <w:sz w:val="22"/>
          <w:lang w:val="en-GB"/>
        </w:rPr>
      </w:pPr>
      <w:r w:rsidRPr="00EA761C">
        <w:rPr>
          <w:rFonts w:ascii="Arial" w:hAnsi="Arial"/>
          <w:b/>
          <w:sz w:val="22"/>
          <w:lang w:val="en-GB"/>
        </w:rPr>
        <w:t>Intercollegiate Board – Current Membership</w:t>
      </w:r>
    </w:p>
    <w:p w:rsidR="00541AF3" w:rsidRPr="00EA761C" w:rsidRDefault="00541AF3" w:rsidP="00522D7B">
      <w:pPr>
        <w:spacing w:after="120"/>
        <w:ind w:left="4320" w:hanging="4320"/>
        <w:jc w:val="both"/>
        <w:rPr>
          <w:rFonts w:ascii="Arial" w:hAnsi="Arial"/>
          <w:b/>
          <w:sz w:val="22"/>
          <w:lang w:val="en-GB"/>
        </w:rPr>
      </w:pPr>
      <w:r w:rsidRPr="00EA761C">
        <w:rPr>
          <w:rFonts w:ascii="Arial" w:hAnsi="Arial"/>
          <w:b/>
          <w:sz w:val="22"/>
          <w:lang w:val="en-GB"/>
        </w:rPr>
        <w:t>Lead colleges</w:t>
      </w:r>
    </w:p>
    <w:p w:rsidR="00541AF3" w:rsidRPr="00EA761C" w:rsidRDefault="00541AF3" w:rsidP="00522D7B">
      <w:pPr>
        <w:spacing w:after="0"/>
        <w:ind w:left="4320" w:hanging="4320"/>
        <w:jc w:val="both"/>
        <w:rPr>
          <w:rFonts w:ascii="Arial" w:hAnsi="Arial"/>
          <w:sz w:val="22"/>
          <w:lang w:val="en-GB"/>
        </w:rPr>
      </w:pPr>
      <w:r w:rsidRPr="00EA761C">
        <w:rPr>
          <w:rFonts w:ascii="Arial" w:hAnsi="Arial"/>
          <w:sz w:val="22"/>
          <w:lang w:val="en-GB"/>
        </w:rPr>
        <w:t>The Royal Co</w:t>
      </w:r>
      <w:r>
        <w:rPr>
          <w:rFonts w:ascii="Arial" w:hAnsi="Arial"/>
          <w:sz w:val="22"/>
          <w:lang w:val="en-GB"/>
        </w:rPr>
        <w:t>llege of Surgeons of Edinburgh</w:t>
      </w:r>
      <w:r>
        <w:rPr>
          <w:rFonts w:ascii="Arial" w:hAnsi="Arial"/>
          <w:sz w:val="22"/>
          <w:lang w:val="en-GB"/>
        </w:rPr>
        <w:tab/>
      </w:r>
      <w:r w:rsidRPr="00EA761C">
        <w:rPr>
          <w:rFonts w:ascii="Arial" w:hAnsi="Arial"/>
          <w:sz w:val="22"/>
          <w:lang w:val="en-GB"/>
        </w:rPr>
        <w:t xml:space="preserve">Prof </w:t>
      </w:r>
      <w:r>
        <w:rPr>
          <w:rFonts w:ascii="Arial" w:hAnsi="Arial"/>
          <w:sz w:val="22"/>
          <w:lang w:val="en-GB"/>
        </w:rPr>
        <w:t xml:space="preserve">Sir </w:t>
      </w:r>
      <w:r w:rsidRPr="00EA761C">
        <w:rPr>
          <w:rFonts w:ascii="Arial" w:hAnsi="Arial"/>
          <w:sz w:val="22"/>
          <w:lang w:val="en-GB"/>
        </w:rPr>
        <w:t>K Porter (Chair)</w:t>
      </w:r>
    </w:p>
    <w:p w:rsidR="00541AF3" w:rsidRPr="00EA761C" w:rsidRDefault="00541AF3" w:rsidP="00522D7B">
      <w:pPr>
        <w:spacing w:after="120"/>
        <w:ind w:left="4320" w:hanging="4320"/>
        <w:jc w:val="both"/>
        <w:rPr>
          <w:rFonts w:ascii="Arial" w:hAnsi="Arial"/>
          <w:sz w:val="22"/>
          <w:lang w:val="en-GB"/>
        </w:rPr>
      </w:pPr>
      <w:r w:rsidRPr="00EA761C">
        <w:rPr>
          <w:rFonts w:ascii="Arial" w:hAnsi="Arial"/>
          <w:sz w:val="22"/>
          <w:lang w:val="en-GB"/>
        </w:rPr>
        <w:t>(Faculty of Pre-Hospital Care)</w:t>
      </w:r>
      <w:r>
        <w:rPr>
          <w:rFonts w:ascii="Arial" w:hAnsi="Arial"/>
          <w:sz w:val="22"/>
          <w:lang w:val="en-GB"/>
        </w:rPr>
        <w:tab/>
      </w:r>
      <w:r>
        <w:rPr>
          <w:rFonts w:ascii="Arial" w:hAnsi="Arial"/>
          <w:sz w:val="22"/>
          <w:lang w:val="en-GB"/>
        </w:rPr>
        <w:tab/>
      </w:r>
      <w:r w:rsidRPr="00EA761C">
        <w:rPr>
          <w:rFonts w:ascii="Arial" w:hAnsi="Arial"/>
          <w:sz w:val="22"/>
          <w:lang w:val="en-GB"/>
        </w:rPr>
        <w:t>Dr R Fairhurst</w:t>
      </w:r>
    </w:p>
    <w:p w:rsidR="00541AF3" w:rsidRPr="00EA761C" w:rsidRDefault="00541AF3" w:rsidP="00522D7B">
      <w:pPr>
        <w:spacing w:after="0"/>
        <w:ind w:left="4320" w:hanging="4320"/>
        <w:jc w:val="both"/>
        <w:rPr>
          <w:rFonts w:ascii="Arial" w:hAnsi="Arial"/>
          <w:sz w:val="22"/>
          <w:lang w:val="en-GB"/>
        </w:rPr>
      </w:pPr>
      <w:r w:rsidRPr="00EA761C">
        <w:rPr>
          <w:rFonts w:ascii="Arial" w:hAnsi="Arial"/>
          <w:sz w:val="22"/>
          <w:lang w:val="en-GB"/>
        </w:rPr>
        <w:t>The Royal College of Anaesthetists</w:t>
      </w:r>
      <w:r>
        <w:rPr>
          <w:rFonts w:ascii="Arial" w:hAnsi="Arial"/>
          <w:sz w:val="22"/>
          <w:lang w:val="en-GB"/>
        </w:rPr>
        <w:tab/>
      </w:r>
      <w:r>
        <w:rPr>
          <w:rFonts w:ascii="Arial" w:hAnsi="Arial"/>
          <w:sz w:val="22"/>
          <w:lang w:val="en-GB"/>
        </w:rPr>
        <w:tab/>
      </w:r>
      <w:r w:rsidRPr="00EA761C">
        <w:rPr>
          <w:rFonts w:ascii="Arial" w:hAnsi="Arial"/>
          <w:sz w:val="22"/>
          <w:lang w:val="en-GB"/>
        </w:rPr>
        <w:t>Prof C Dodds</w:t>
      </w:r>
    </w:p>
    <w:p w:rsidR="00541AF3" w:rsidRPr="00EA761C" w:rsidRDefault="00541AF3" w:rsidP="00522D7B">
      <w:pPr>
        <w:spacing w:after="120"/>
        <w:ind w:left="4320" w:hanging="4320"/>
        <w:jc w:val="both"/>
        <w:rPr>
          <w:rFonts w:ascii="Arial" w:hAnsi="Arial"/>
          <w:sz w:val="22"/>
          <w:lang w:val="en-GB"/>
        </w:rPr>
      </w:pPr>
      <w:r>
        <w:rPr>
          <w:rFonts w:ascii="Arial" w:hAnsi="Arial"/>
          <w:sz w:val="22"/>
          <w:lang w:val="en-GB"/>
        </w:rPr>
        <w:tab/>
      </w:r>
      <w:r>
        <w:rPr>
          <w:rFonts w:ascii="Arial" w:hAnsi="Arial"/>
          <w:sz w:val="22"/>
          <w:lang w:val="en-GB"/>
        </w:rPr>
        <w:tab/>
      </w:r>
      <w:r w:rsidRPr="00EA761C">
        <w:rPr>
          <w:rFonts w:ascii="Arial" w:hAnsi="Arial"/>
          <w:sz w:val="22"/>
          <w:lang w:val="en-GB"/>
        </w:rPr>
        <w:t>Dr J Nolan</w:t>
      </w:r>
    </w:p>
    <w:p w:rsidR="00541AF3" w:rsidRPr="00EA761C" w:rsidRDefault="00541AF3" w:rsidP="00522D7B">
      <w:pPr>
        <w:spacing w:after="0"/>
        <w:jc w:val="both"/>
        <w:rPr>
          <w:rFonts w:ascii="Arial" w:hAnsi="Arial"/>
          <w:sz w:val="22"/>
          <w:lang w:val="en-GB"/>
        </w:rPr>
      </w:pPr>
      <w:r w:rsidRPr="00EA761C">
        <w:rPr>
          <w:rFonts w:ascii="Arial" w:hAnsi="Arial"/>
          <w:sz w:val="22"/>
          <w:lang w:val="en-GB"/>
        </w:rPr>
        <w:t>The College of Emergency Medicine</w:t>
      </w:r>
      <w:r w:rsidRPr="00EA761C">
        <w:rPr>
          <w:rFonts w:ascii="Arial" w:hAnsi="Arial"/>
          <w:sz w:val="22"/>
          <w:lang w:val="en-GB"/>
        </w:rPr>
        <w:tab/>
      </w:r>
      <w:r w:rsidRPr="00EA761C">
        <w:rPr>
          <w:rFonts w:ascii="Arial" w:hAnsi="Arial"/>
          <w:sz w:val="22"/>
          <w:lang w:val="en-GB"/>
        </w:rPr>
        <w:tab/>
      </w:r>
      <w:r w:rsidRPr="00EA761C">
        <w:rPr>
          <w:rFonts w:ascii="Arial" w:hAnsi="Arial"/>
          <w:sz w:val="22"/>
          <w:lang w:val="en-GB"/>
        </w:rPr>
        <w:tab/>
        <w:t>Prof T Coats</w:t>
      </w:r>
    </w:p>
    <w:p w:rsidR="00541AF3" w:rsidRPr="00EA761C" w:rsidRDefault="00541AF3" w:rsidP="00522D7B">
      <w:pPr>
        <w:spacing w:after="0"/>
        <w:jc w:val="both"/>
        <w:rPr>
          <w:rFonts w:ascii="Arial" w:hAnsi="Arial"/>
          <w:sz w:val="22"/>
          <w:lang w:val="en-GB"/>
        </w:rPr>
      </w:pP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sidRPr="00EA761C">
        <w:rPr>
          <w:rFonts w:ascii="Arial" w:hAnsi="Arial"/>
          <w:sz w:val="22"/>
          <w:lang w:val="en-GB"/>
        </w:rPr>
        <w:t>Dr J Black</w:t>
      </w:r>
    </w:p>
    <w:p w:rsidR="00541AF3" w:rsidRPr="00EA761C" w:rsidRDefault="00541AF3" w:rsidP="00522D7B">
      <w:pPr>
        <w:spacing w:after="0"/>
        <w:jc w:val="both"/>
        <w:rPr>
          <w:rFonts w:ascii="Arial" w:hAnsi="Arial"/>
          <w:sz w:val="22"/>
          <w:lang w:val="en-GB"/>
        </w:rPr>
      </w:pPr>
      <w:r w:rsidRPr="00EA761C">
        <w:rPr>
          <w:rFonts w:ascii="Arial" w:hAnsi="Arial"/>
          <w:sz w:val="22"/>
          <w:lang w:val="en-GB"/>
        </w:rPr>
        <w:t>The Royal College of General Practitioners</w:t>
      </w:r>
      <w:r w:rsidRPr="00EA761C">
        <w:rPr>
          <w:rFonts w:ascii="Arial" w:hAnsi="Arial"/>
          <w:sz w:val="22"/>
          <w:lang w:val="en-GB"/>
        </w:rPr>
        <w:tab/>
      </w:r>
      <w:r w:rsidRPr="00EA761C">
        <w:rPr>
          <w:rFonts w:ascii="Arial" w:hAnsi="Arial"/>
          <w:sz w:val="22"/>
          <w:lang w:val="en-GB"/>
        </w:rPr>
        <w:tab/>
        <w:t>Dr H Bloom</w:t>
      </w:r>
    </w:p>
    <w:p w:rsidR="00541AF3" w:rsidRPr="00EA761C" w:rsidRDefault="00541AF3" w:rsidP="00522D7B">
      <w:pPr>
        <w:spacing w:after="120"/>
        <w:jc w:val="both"/>
        <w:rPr>
          <w:rFonts w:ascii="Arial" w:hAnsi="Arial"/>
          <w:sz w:val="22"/>
          <w:lang w:val="en-GB"/>
        </w:rPr>
      </w:pP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sidRPr="00EA761C">
        <w:rPr>
          <w:rFonts w:ascii="Arial" w:hAnsi="Arial"/>
          <w:sz w:val="22"/>
          <w:lang w:val="en-GB"/>
        </w:rPr>
        <w:t>Dr F Jewkes</w:t>
      </w:r>
    </w:p>
    <w:p w:rsidR="00541AF3" w:rsidRPr="00EA761C" w:rsidRDefault="00541AF3" w:rsidP="00522D7B">
      <w:pPr>
        <w:spacing w:after="120"/>
        <w:jc w:val="both"/>
        <w:rPr>
          <w:rFonts w:ascii="Arial" w:hAnsi="Arial"/>
          <w:b/>
          <w:sz w:val="22"/>
          <w:lang w:val="en-GB"/>
        </w:rPr>
      </w:pPr>
      <w:r w:rsidRPr="00EA761C">
        <w:rPr>
          <w:rFonts w:ascii="Arial" w:hAnsi="Arial"/>
          <w:b/>
          <w:sz w:val="22"/>
          <w:lang w:val="en-GB"/>
        </w:rPr>
        <w:t>Other organisations</w:t>
      </w:r>
    </w:p>
    <w:p w:rsidR="00541AF3" w:rsidRPr="00EA761C" w:rsidRDefault="00541AF3" w:rsidP="00522D7B">
      <w:pPr>
        <w:spacing w:after="0"/>
        <w:jc w:val="both"/>
        <w:rPr>
          <w:rFonts w:ascii="Arial" w:hAnsi="Arial"/>
          <w:sz w:val="22"/>
          <w:lang w:val="en-GB"/>
        </w:rPr>
      </w:pPr>
      <w:r w:rsidRPr="00EA761C">
        <w:rPr>
          <w:rFonts w:ascii="Arial" w:hAnsi="Arial"/>
          <w:sz w:val="22"/>
          <w:lang w:val="en-GB"/>
        </w:rPr>
        <w:t>The Royal College of Paediatrics and Child Health</w:t>
      </w:r>
      <w:r w:rsidRPr="00EA761C">
        <w:rPr>
          <w:rFonts w:ascii="Arial" w:hAnsi="Arial"/>
          <w:sz w:val="22"/>
          <w:lang w:val="en-GB"/>
        </w:rPr>
        <w:tab/>
        <w:t>Dr P Hardy</w:t>
      </w:r>
    </w:p>
    <w:p w:rsidR="00541AF3" w:rsidRPr="00EA761C" w:rsidRDefault="00541AF3" w:rsidP="00522D7B">
      <w:pPr>
        <w:spacing w:after="0"/>
        <w:jc w:val="both"/>
        <w:rPr>
          <w:rFonts w:ascii="Arial" w:hAnsi="Arial"/>
          <w:sz w:val="22"/>
          <w:lang w:val="en-GB"/>
        </w:rPr>
      </w:pPr>
      <w:r w:rsidRPr="00EA761C">
        <w:rPr>
          <w:rFonts w:ascii="Arial" w:hAnsi="Arial"/>
          <w:sz w:val="22"/>
          <w:lang w:val="en-GB"/>
        </w:rPr>
        <w:t>The Royal College of Physicians of London</w:t>
      </w:r>
      <w:r w:rsidRPr="00EA761C">
        <w:rPr>
          <w:rFonts w:ascii="Arial" w:hAnsi="Arial"/>
          <w:sz w:val="22"/>
          <w:lang w:val="en-GB"/>
        </w:rPr>
        <w:tab/>
      </w:r>
      <w:r w:rsidRPr="00EA761C">
        <w:rPr>
          <w:rFonts w:ascii="Arial" w:hAnsi="Arial"/>
          <w:sz w:val="22"/>
          <w:lang w:val="en-GB"/>
        </w:rPr>
        <w:tab/>
        <w:t>Prof D Bell</w:t>
      </w:r>
    </w:p>
    <w:p w:rsidR="00541AF3" w:rsidRPr="00EA761C" w:rsidRDefault="00541AF3" w:rsidP="00522D7B">
      <w:pPr>
        <w:spacing w:after="0"/>
        <w:jc w:val="both"/>
        <w:rPr>
          <w:rFonts w:ascii="Arial" w:hAnsi="Arial"/>
          <w:sz w:val="22"/>
          <w:lang w:val="en-GB"/>
        </w:rPr>
      </w:pPr>
      <w:r w:rsidRPr="00EA761C">
        <w:rPr>
          <w:rFonts w:ascii="Arial" w:hAnsi="Arial"/>
          <w:sz w:val="22"/>
          <w:lang w:val="en-GB"/>
        </w:rPr>
        <w:t>The Royal College of Psychiatrists</w:t>
      </w:r>
      <w:r w:rsidRPr="00EA761C">
        <w:rPr>
          <w:rFonts w:ascii="Arial" w:hAnsi="Arial"/>
          <w:sz w:val="22"/>
          <w:lang w:val="en-GB"/>
        </w:rPr>
        <w:tab/>
      </w:r>
      <w:r w:rsidRPr="00EA761C">
        <w:rPr>
          <w:rFonts w:ascii="Arial" w:hAnsi="Arial"/>
          <w:sz w:val="22"/>
          <w:lang w:val="en-GB"/>
        </w:rPr>
        <w:tab/>
      </w:r>
      <w:r w:rsidRPr="00EA761C">
        <w:rPr>
          <w:rFonts w:ascii="Arial" w:hAnsi="Arial"/>
          <w:sz w:val="22"/>
          <w:lang w:val="en-GB"/>
        </w:rPr>
        <w:tab/>
        <w:t>Prof R Williams</w:t>
      </w:r>
    </w:p>
    <w:p w:rsidR="00541AF3" w:rsidRPr="00EA761C" w:rsidRDefault="00541AF3" w:rsidP="00522D7B">
      <w:pPr>
        <w:spacing w:after="0"/>
        <w:jc w:val="both"/>
        <w:rPr>
          <w:rFonts w:ascii="Arial" w:hAnsi="Arial"/>
          <w:sz w:val="22"/>
          <w:lang w:val="en-GB"/>
        </w:rPr>
      </w:pPr>
      <w:r w:rsidRPr="00EA761C">
        <w:rPr>
          <w:rFonts w:ascii="Arial" w:hAnsi="Arial"/>
          <w:sz w:val="22"/>
          <w:lang w:val="en-GB"/>
        </w:rPr>
        <w:t>The Joint Committee on Surgical Training</w:t>
      </w:r>
      <w:r w:rsidRPr="00EA761C">
        <w:rPr>
          <w:rFonts w:ascii="Arial" w:hAnsi="Arial"/>
          <w:sz w:val="22"/>
          <w:lang w:val="en-GB"/>
        </w:rPr>
        <w:tab/>
      </w:r>
      <w:r w:rsidRPr="00EA761C">
        <w:rPr>
          <w:rFonts w:ascii="Arial" w:hAnsi="Arial"/>
          <w:sz w:val="22"/>
          <w:lang w:val="en-GB"/>
        </w:rPr>
        <w:tab/>
        <w:t>Mr C Munsch</w:t>
      </w:r>
    </w:p>
    <w:p w:rsidR="00541AF3" w:rsidRPr="00EA761C" w:rsidRDefault="00541AF3" w:rsidP="00522D7B">
      <w:pPr>
        <w:spacing w:after="0"/>
        <w:jc w:val="both"/>
        <w:rPr>
          <w:rFonts w:ascii="Arial" w:hAnsi="Arial"/>
          <w:bCs/>
          <w:sz w:val="22"/>
          <w:lang w:val="en-GB"/>
        </w:rPr>
      </w:pPr>
      <w:r w:rsidRPr="00EA761C">
        <w:rPr>
          <w:rFonts w:ascii="Arial" w:hAnsi="Arial"/>
          <w:sz w:val="22"/>
          <w:lang w:val="en-GB"/>
        </w:rPr>
        <w:t xml:space="preserve">The </w:t>
      </w:r>
      <w:r w:rsidRPr="00EA761C">
        <w:rPr>
          <w:rFonts w:ascii="Arial" w:hAnsi="Arial"/>
          <w:bCs/>
          <w:sz w:val="22"/>
          <w:lang w:val="en-GB"/>
        </w:rPr>
        <w:t>Joint Royal Colleges of Physicians Training</w:t>
      </w:r>
      <w:r w:rsidRPr="00EA761C">
        <w:rPr>
          <w:rFonts w:ascii="Arial" w:hAnsi="Arial"/>
          <w:bCs/>
          <w:sz w:val="22"/>
          <w:lang w:val="en-GB"/>
        </w:rPr>
        <w:tab/>
        <w:t>Dr M Jones</w:t>
      </w:r>
    </w:p>
    <w:p w:rsidR="00541AF3" w:rsidRPr="00EA761C" w:rsidRDefault="00541AF3" w:rsidP="00522D7B">
      <w:pPr>
        <w:spacing w:after="0"/>
        <w:jc w:val="both"/>
        <w:rPr>
          <w:rFonts w:ascii="Arial" w:hAnsi="Arial"/>
          <w:sz w:val="22"/>
          <w:lang w:val="en-GB"/>
        </w:rPr>
      </w:pPr>
      <w:r w:rsidRPr="00EA761C">
        <w:rPr>
          <w:rFonts w:ascii="Arial" w:hAnsi="Arial"/>
          <w:bCs/>
          <w:sz w:val="22"/>
          <w:lang w:val="en-GB"/>
        </w:rPr>
        <w:t>Board</w:t>
      </w:r>
      <w:r w:rsidRPr="00EA761C">
        <w:rPr>
          <w:rFonts w:ascii="Arial" w:hAnsi="Arial"/>
          <w:sz w:val="22"/>
          <w:lang w:val="en-GB"/>
        </w:rPr>
        <w:tab/>
      </w:r>
    </w:p>
    <w:p w:rsidR="00541AF3" w:rsidRPr="00EA761C" w:rsidRDefault="00541AF3" w:rsidP="00522D7B">
      <w:pPr>
        <w:spacing w:after="0"/>
        <w:ind w:left="4320" w:hanging="4320"/>
        <w:jc w:val="both"/>
        <w:rPr>
          <w:rFonts w:ascii="Arial" w:hAnsi="Arial"/>
          <w:sz w:val="22"/>
          <w:lang w:val="en-GB"/>
        </w:rPr>
      </w:pPr>
      <w:r w:rsidRPr="00EA761C">
        <w:rPr>
          <w:rFonts w:ascii="Arial" w:hAnsi="Arial"/>
          <w:sz w:val="22"/>
          <w:lang w:val="en-GB"/>
        </w:rPr>
        <w:t xml:space="preserve">Chair of Curriculum Development Group </w:t>
      </w:r>
      <w:r w:rsidRPr="00EA761C">
        <w:rPr>
          <w:rFonts w:ascii="Arial" w:hAnsi="Arial"/>
          <w:sz w:val="22"/>
          <w:lang w:val="en-GB"/>
        </w:rPr>
        <w:tab/>
      </w:r>
      <w:r w:rsidRPr="00EA761C">
        <w:rPr>
          <w:rFonts w:ascii="Arial" w:hAnsi="Arial"/>
          <w:sz w:val="22"/>
          <w:lang w:val="en-GB"/>
        </w:rPr>
        <w:tab/>
        <w:t>Dr R Mackenzie</w:t>
      </w:r>
    </w:p>
    <w:p w:rsidR="00541AF3" w:rsidRPr="00EA761C" w:rsidRDefault="00541AF3" w:rsidP="00522D7B">
      <w:pPr>
        <w:spacing w:after="0"/>
        <w:jc w:val="both"/>
        <w:rPr>
          <w:rFonts w:ascii="Arial" w:hAnsi="Arial"/>
          <w:sz w:val="22"/>
          <w:lang w:val="en-GB"/>
        </w:rPr>
      </w:pPr>
      <w:r w:rsidRPr="00EA761C">
        <w:rPr>
          <w:rFonts w:ascii="Arial" w:hAnsi="Arial"/>
          <w:sz w:val="22"/>
          <w:lang w:val="en-GB"/>
        </w:rPr>
        <w:t>The Conference of Postgraduate Medical Deans</w:t>
      </w:r>
      <w:r w:rsidRPr="00EA761C">
        <w:rPr>
          <w:rFonts w:ascii="Arial" w:hAnsi="Arial"/>
          <w:sz w:val="22"/>
          <w:lang w:val="en-GB"/>
        </w:rPr>
        <w:tab/>
        <w:t>Prof A McGowan</w:t>
      </w:r>
    </w:p>
    <w:p w:rsidR="00541AF3" w:rsidRDefault="00541AF3" w:rsidP="00522D7B">
      <w:pPr>
        <w:spacing w:after="0"/>
        <w:jc w:val="both"/>
        <w:rPr>
          <w:rFonts w:ascii="Arial" w:hAnsi="Arial"/>
          <w:sz w:val="22"/>
          <w:lang w:val="en-GB"/>
        </w:rPr>
      </w:pPr>
      <w:r w:rsidRPr="00EA761C">
        <w:rPr>
          <w:rFonts w:ascii="Arial" w:hAnsi="Arial"/>
          <w:sz w:val="22"/>
          <w:lang w:val="en-GB"/>
        </w:rPr>
        <w:t>The Defence Medical Services</w:t>
      </w:r>
      <w:r>
        <w:rPr>
          <w:rFonts w:ascii="Arial" w:hAnsi="Arial"/>
          <w:sz w:val="22"/>
          <w:lang w:val="en-GB"/>
        </w:rPr>
        <w:tab/>
      </w:r>
      <w:r>
        <w:rPr>
          <w:rFonts w:ascii="Arial" w:hAnsi="Arial"/>
          <w:sz w:val="22"/>
          <w:lang w:val="en-GB"/>
        </w:rPr>
        <w:tab/>
      </w:r>
      <w:r>
        <w:rPr>
          <w:rFonts w:ascii="Arial" w:hAnsi="Arial"/>
          <w:sz w:val="22"/>
          <w:lang w:val="en-GB"/>
        </w:rPr>
        <w:tab/>
        <w:t xml:space="preserve">Grp Cpt </w:t>
      </w:r>
      <w:r w:rsidRPr="00EA761C">
        <w:rPr>
          <w:rFonts w:ascii="Arial" w:hAnsi="Arial"/>
          <w:sz w:val="22"/>
          <w:lang w:val="en-GB"/>
        </w:rPr>
        <w:t>N McGuire</w:t>
      </w:r>
    </w:p>
    <w:p w:rsidR="00541AF3" w:rsidRPr="00EA761C" w:rsidRDefault="00541AF3" w:rsidP="00522D7B">
      <w:pPr>
        <w:spacing w:after="0"/>
        <w:jc w:val="both"/>
        <w:rPr>
          <w:rFonts w:ascii="Arial" w:hAnsi="Arial"/>
          <w:sz w:val="22"/>
          <w:lang w:val="en-GB"/>
        </w:rPr>
      </w:pP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t xml:space="preserve">Col D Parkhouse </w:t>
      </w:r>
    </w:p>
    <w:p w:rsidR="00541AF3" w:rsidRPr="00EA761C" w:rsidRDefault="00541AF3" w:rsidP="00522D7B">
      <w:pPr>
        <w:spacing w:after="0"/>
        <w:jc w:val="both"/>
        <w:rPr>
          <w:rFonts w:ascii="Arial" w:hAnsi="Arial"/>
          <w:sz w:val="22"/>
          <w:lang w:val="en-GB"/>
        </w:rPr>
      </w:pPr>
      <w:r w:rsidRPr="00EA761C">
        <w:rPr>
          <w:rFonts w:ascii="Arial" w:hAnsi="Arial"/>
          <w:sz w:val="22"/>
          <w:lang w:val="en-GB"/>
        </w:rPr>
        <w:t xml:space="preserve">The Departments of Health of England, Scotland, </w:t>
      </w:r>
      <w:r w:rsidRPr="00EA761C">
        <w:rPr>
          <w:rFonts w:ascii="Arial" w:hAnsi="Arial"/>
          <w:sz w:val="22"/>
          <w:lang w:val="en-GB"/>
        </w:rPr>
        <w:tab/>
        <w:t>Dr P Hamilton</w:t>
      </w:r>
    </w:p>
    <w:p w:rsidR="00541AF3" w:rsidRPr="00EA761C" w:rsidRDefault="00541AF3" w:rsidP="00522D7B">
      <w:pPr>
        <w:spacing w:after="0"/>
        <w:jc w:val="both"/>
        <w:rPr>
          <w:rFonts w:ascii="Arial" w:hAnsi="Arial"/>
          <w:sz w:val="22"/>
          <w:lang w:val="en-GB"/>
        </w:rPr>
      </w:pPr>
      <w:r w:rsidRPr="00EA761C">
        <w:rPr>
          <w:rFonts w:ascii="Arial" w:hAnsi="Arial"/>
          <w:sz w:val="22"/>
          <w:lang w:val="en-GB"/>
        </w:rPr>
        <w:t xml:space="preserve">Northern Ireland and Wales </w:t>
      </w:r>
      <w:r w:rsidRPr="00EA761C">
        <w:rPr>
          <w:rFonts w:ascii="Arial" w:hAnsi="Arial"/>
          <w:sz w:val="22"/>
          <w:lang w:val="en-GB"/>
        </w:rPr>
        <w:tab/>
      </w:r>
      <w:r w:rsidRPr="00EA761C">
        <w:rPr>
          <w:rFonts w:ascii="Arial" w:hAnsi="Arial"/>
          <w:sz w:val="22"/>
          <w:lang w:val="en-GB"/>
        </w:rPr>
        <w:tab/>
      </w:r>
      <w:r w:rsidRPr="00EA761C">
        <w:rPr>
          <w:rFonts w:ascii="Arial" w:hAnsi="Arial"/>
          <w:sz w:val="22"/>
          <w:lang w:val="en-GB"/>
        </w:rPr>
        <w:tab/>
      </w:r>
      <w:r w:rsidRPr="00EA761C">
        <w:rPr>
          <w:rFonts w:ascii="Arial" w:hAnsi="Arial"/>
          <w:sz w:val="22"/>
          <w:lang w:val="en-GB"/>
        </w:rPr>
        <w:tab/>
        <w:t>Dr A Carr (Deputy)</w:t>
      </w:r>
    </w:p>
    <w:p w:rsidR="00541AF3" w:rsidRPr="00EA761C" w:rsidRDefault="00541AF3" w:rsidP="00522D7B">
      <w:pPr>
        <w:spacing w:after="0"/>
        <w:jc w:val="both"/>
        <w:rPr>
          <w:rFonts w:ascii="Arial" w:hAnsi="Arial"/>
          <w:sz w:val="22"/>
          <w:lang w:val="en-GB"/>
        </w:rPr>
      </w:pPr>
      <w:r w:rsidRPr="00EA761C">
        <w:rPr>
          <w:rFonts w:ascii="Arial" w:hAnsi="Arial"/>
          <w:sz w:val="22"/>
          <w:lang w:val="en-GB"/>
        </w:rPr>
        <w:t>(Joint Representative)</w:t>
      </w:r>
    </w:p>
    <w:p w:rsidR="00541AF3" w:rsidRPr="00EA761C" w:rsidRDefault="00541AF3" w:rsidP="00522D7B">
      <w:pPr>
        <w:spacing w:after="0"/>
        <w:jc w:val="both"/>
        <w:rPr>
          <w:rFonts w:ascii="Arial" w:hAnsi="Arial"/>
          <w:sz w:val="22"/>
          <w:lang w:val="en-GB"/>
        </w:rPr>
      </w:pPr>
      <w:r w:rsidRPr="00EA761C">
        <w:rPr>
          <w:rFonts w:ascii="Arial" w:hAnsi="Arial"/>
          <w:sz w:val="22"/>
          <w:lang w:val="en-GB"/>
        </w:rPr>
        <w:t xml:space="preserve">The Inter-Collegiate Board for Training in </w:t>
      </w:r>
      <w:r w:rsidRPr="00EA761C">
        <w:rPr>
          <w:rFonts w:ascii="Arial" w:hAnsi="Arial"/>
          <w:sz w:val="22"/>
          <w:lang w:val="en-GB"/>
        </w:rPr>
        <w:tab/>
      </w:r>
      <w:r w:rsidRPr="00EA761C">
        <w:rPr>
          <w:rFonts w:ascii="Arial" w:hAnsi="Arial"/>
          <w:sz w:val="22"/>
          <w:lang w:val="en-GB"/>
        </w:rPr>
        <w:tab/>
        <w:t>Dr B Foëx</w:t>
      </w:r>
    </w:p>
    <w:p w:rsidR="00541AF3" w:rsidRPr="00EA761C" w:rsidRDefault="00541AF3" w:rsidP="00522D7B">
      <w:pPr>
        <w:spacing w:after="0"/>
        <w:jc w:val="both"/>
        <w:rPr>
          <w:rFonts w:ascii="Arial" w:hAnsi="Arial"/>
          <w:sz w:val="22"/>
          <w:lang w:val="en-GB"/>
        </w:rPr>
      </w:pPr>
      <w:r w:rsidRPr="00EA761C">
        <w:rPr>
          <w:rFonts w:ascii="Arial" w:hAnsi="Arial"/>
          <w:sz w:val="22"/>
          <w:lang w:val="en-GB"/>
        </w:rPr>
        <w:t>Intensive Care Medicine</w:t>
      </w:r>
    </w:p>
    <w:p w:rsidR="00541AF3" w:rsidRPr="00EA761C" w:rsidRDefault="00541AF3" w:rsidP="00522D7B">
      <w:pPr>
        <w:spacing w:after="0"/>
        <w:jc w:val="both"/>
        <w:rPr>
          <w:rFonts w:ascii="Arial" w:hAnsi="Arial"/>
          <w:sz w:val="22"/>
          <w:lang w:val="en-GB"/>
        </w:rPr>
      </w:pPr>
      <w:r w:rsidRPr="00EA761C">
        <w:rPr>
          <w:rFonts w:ascii="Arial" w:hAnsi="Arial"/>
          <w:sz w:val="22"/>
          <w:lang w:val="en-GB"/>
        </w:rPr>
        <w:t>Trainee</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t>Dr A Booth</w:t>
      </w:r>
    </w:p>
    <w:p w:rsidR="00541AF3" w:rsidRPr="00EA761C" w:rsidRDefault="00541AF3" w:rsidP="00522D7B">
      <w:pPr>
        <w:spacing w:after="120"/>
        <w:jc w:val="both"/>
        <w:rPr>
          <w:rFonts w:ascii="Arial" w:hAnsi="Arial"/>
          <w:sz w:val="22"/>
          <w:lang w:val="en-GB"/>
        </w:rPr>
      </w:pPr>
      <w:r w:rsidRPr="00EA761C">
        <w:rPr>
          <w:rFonts w:ascii="Arial" w:hAnsi="Arial"/>
          <w:sz w:val="22"/>
          <w:lang w:val="en-GB"/>
        </w:rPr>
        <w:t xml:space="preserve">Lay representative </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t>Mr D Brown</w:t>
      </w:r>
    </w:p>
    <w:p w:rsidR="00541AF3" w:rsidRDefault="00541AF3" w:rsidP="00522D7B">
      <w:pPr>
        <w:jc w:val="both"/>
        <w:rPr>
          <w:rFonts w:ascii="Arial" w:hAnsi="Arial"/>
          <w:b/>
          <w:sz w:val="22"/>
          <w:lang w:val="en-GB"/>
        </w:rPr>
      </w:pPr>
    </w:p>
    <w:p w:rsidR="00541AF3" w:rsidRPr="00EA761C" w:rsidRDefault="00541AF3" w:rsidP="00522D7B">
      <w:pPr>
        <w:spacing w:after="120"/>
        <w:jc w:val="both"/>
        <w:rPr>
          <w:rFonts w:ascii="Arial" w:hAnsi="Arial"/>
          <w:b/>
          <w:sz w:val="22"/>
          <w:lang w:val="en-GB"/>
        </w:rPr>
      </w:pPr>
      <w:r w:rsidRPr="00EA761C">
        <w:rPr>
          <w:rFonts w:ascii="Arial" w:hAnsi="Arial"/>
          <w:b/>
          <w:sz w:val="22"/>
          <w:lang w:val="en-GB"/>
        </w:rPr>
        <w:t>Intercollegiate Board – Curriculum, Training and Assessment Sub-committee Terms of Reference and Membership</w:t>
      </w:r>
    </w:p>
    <w:p w:rsidR="00541AF3" w:rsidRPr="00EA761C" w:rsidRDefault="00541AF3" w:rsidP="00522D7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b/>
          <w:sz w:val="22"/>
        </w:rPr>
      </w:pPr>
      <w:r w:rsidRPr="00EA761C">
        <w:rPr>
          <w:rFonts w:ascii="Arial" w:hAnsi="Arial"/>
          <w:b/>
          <w:sz w:val="22"/>
        </w:rPr>
        <w:t>1. Purpose</w:t>
      </w:r>
    </w:p>
    <w:p w:rsidR="00541AF3" w:rsidRPr="00EA761C" w:rsidRDefault="00541AF3" w:rsidP="00522D7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20"/>
        <w:jc w:val="both"/>
        <w:rPr>
          <w:rFonts w:ascii="Arial" w:hAnsi="Arial"/>
          <w:sz w:val="22"/>
        </w:rPr>
      </w:pPr>
      <w:r w:rsidRPr="00EA761C">
        <w:rPr>
          <w:rFonts w:ascii="Arial" w:hAnsi="Arial"/>
          <w:sz w:val="22"/>
        </w:rPr>
        <w:t>Key functions of the Intercollegiate Board (ICB) for Training in Pre-hospital Emergency Medicine include:</w:t>
      </w:r>
    </w:p>
    <w:p w:rsidR="00541AF3" w:rsidRPr="00EA761C" w:rsidRDefault="00541AF3" w:rsidP="00522D7B">
      <w:pPr>
        <w:pStyle w:val="BodyA"/>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lang w:val="en-GB"/>
        </w:rPr>
      </w:pPr>
      <w:r w:rsidRPr="00EA761C">
        <w:rPr>
          <w:rFonts w:ascii="Arial" w:hAnsi="Arial"/>
          <w:sz w:val="22"/>
        </w:rPr>
        <w:t xml:space="preserve">determination of </w:t>
      </w:r>
      <w:r w:rsidRPr="00EA761C">
        <w:rPr>
          <w:rFonts w:ascii="Arial" w:hAnsi="Arial"/>
          <w:sz w:val="22"/>
          <w:lang w:val="en-GB"/>
        </w:rPr>
        <w:t>the duration, content and assessment of training in pre-hospital emergency medicine;</w:t>
      </w:r>
    </w:p>
    <w:p w:rsidR="00541AF3" w:rsidRPr="00EA761C" w:rsidRDefault="00541AF3" w:rsidP="00522D7B">
      <w:pPr>
        <w:pStyle w:val="BodyA"/>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lang w:val="en-GB"/>
        </w:rPr>
      </w:pPr>
      <w:r w:rsidRPr="00EA761C">
        <w:rPr>
          <w:rFonts w:ascii="Arial" w:hAnsi="Arial"/>
          <w:sz w:val="22"/>
          <w:lang w:val="en-GB"/>
        </w:rPr>
        <w:t xml:space="preserve">making recommendations for  minimum standards for training; </w:t>
      </w:r>
    </w:p>
    <w:p w:rsidR="00541AF3" w:rsidRPr="00EA761C" w:rsidRDefault="00541AF3" w:rsidP="00522D7B">
      <w:pPr>
        <w:pStyle w:val="BodyA"/>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20"/>
        <w:rPr>
          <w:rFonts w:ascii="Arial" w:hAnsi="Arial"/>
          <w:sz w:val="22"/>
          <w:lang w:val="en-GB"/>
        </w:rPr>
      </w:pPr>
      <w:r w:rsidRPr="00EA761C">
        <w:rPr>
          <w:rFonts w:ascii="Arial" w:hAnsi="Arial"/>
          <w:sz w:val="22"/>
          <w:lang w:val="en-GB"/>
        </w:rPr>
        <w:t>making recommendations for mechanisms of accreditation and assessment.</w:t>
      </w:r>
    </w:p>
    <w:p w:rsidR="00541AF3" w:rsidRPr="00EA761C" w:rsidRDefault="00541AF3" w:rsidP="00522D7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20"/>
        <w:rPr>
          <w:rFonts w:ascii="Arial" w:hAnsi="Arial"/>
          <w:sz w:val="22"/>
        </w:rPr>
      </w:pPr>
      <w:r w:rsidRPr="00EA761C">
        <w:rPr>
          <w:rFonts w:ascii="Arial" w:hAnsi="Arial"/>
          <w:sz w:val="22"/>
        </w:rPr>
        <w:t>To assist in fulfilling these functions, the ICB created a Curriculum, training and assessment sub-committee.</w:t>
      </w:r>
    </w:p>
    <w:p w:rsidR="00541AF3" w:rsidRPr="00EA761C" w:rsidRDefault="00541AF3" w:rsidP="00522D7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20"/>
        <w:jc w:val="both"/>
        <w:rPr>
          <w:rFonts w:ascii="Arial" w:hAnsi="Arial"/>
          <w:b/>
          <w:sz w:val="22"/>
        </w:rPr>
      </w:pPr>
      <w:r w:rsidRPr="00EA761C">
        <w:rPr>
          <w:rFonts w:ascii="Arial" w:hAnsi="Arial"/>
          <w:b/>
          <w:sz w:val="22"/>
        </w:rPr>
        <w:t>2. Objective</w:t>
      </w:r>
    </w:p>
    <w:p w:rsidR="00541AF3" w:rsidRPr="00EA761C" w:rsidRDefault="00541AF3" w:rsidP="00522D7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20"/>
        <w:rPr>
          <w:rFonts w:ascii="Arial" w:hAnsi="Arial"/>
          <w:sz w:val="22"/>
        </w:rPr>
      </w:pPr>
      <w:r w:rsidRPr="00EA761C">
        <w:rPr>
          <w:rFonts w:ascii="Arial" w:hAnsi="Arial"/>
          <w:sz w:val="22"/>
        </w:rPr>
        <w:t xml:space="preserve">To develop a curriculum for Pre-hospital Emergency Medicine which is fully mapped to  lead college curricula and is compliant with existing PMETB standards for curriculum, training and assessment. </w:t>
      </w:r>
    </w:p>
    <w:p w:rsidR="00541AF3" w:rsidRPr="00EA761C" w:rsidRDefault="00541AF3" w:rsidP="00522D7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b/>
          <w:sz w:val="22"/>
        </w:rPr>
      </w:pPr>
      <w:r w:rsidRPr="00EA761C">
        <w:rPr>
          <w:rFonts w:ascii="Arial" w:hAnsi="Arial"/>
          <w:b/>
          <w:sz w:val="22"/>
        </w:rPr>
        <w:t>3. Membership</w:t>
      </w:r>
    </w:p>
    <w:p w:rsidR="00541AF3" w:rsidRPr="00EA761C" w:rsidRDefault="00541AF3" w:rsidP="00522D7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sz w:val="22"/>
        </w:rPr>
      </w:pPr>
      <w:r w:rsidRPr="00EA761C">
        <w:rPr>
          <w:rFonts w:ascii="Arial" w:hAnsi="Arial"/>
          <w:sz w:val="22"/>
        </w:rPr>
        <w:t>Sub-committee chair</w:t>
      </w:r>
      <w:r w:rsidRPr="00EA761C">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EA761C">
        <w:rPr>
          <w:rFonts w:ascii="Arial" w:hAnsi="Arial"/>
          <w:sz w:val="22"/>
        </w:rPr>
        <w:t>Dr R Mackenzie (Chair)</w:t>
      </w:r>
    </w:p>
    <w:p w:rsidR="00541AF3" w:rsidRPr="00EA761C" w:rsidRDefault="00541AF3" w:rsidP="00522D7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sz w:val="22"/>
        </w:rPr>
      </w:pPr>
      <w:r w:rsidRPr="00EA761C">
        <w:rPr>
          <w:rFonts w:ascii="Arial" w:hAnsi="Arial"/>
          <w:sz w:val="22"/>
        </w:rPr>
        <w:t>Curriculum framework lead</w:t>
      </w:r>
      <w:r w:rsidRPr="00EA761C">
        <w:rPr>
          <w:rFonts w:ascii="Arial" w:hAnsi="Arial"/>
          <w:sz w:val="22"/>
        </w:rPr>
        <w:tab/>
      </w:r>
      <w:r w:rsidRPr="00EA761C">
        <w:rPr>
          <w:rFonts w:ascii="Arial" w:hAnsi="Arial"/>
          <w:sz w:val="22"/>
        </w:rPr>
        <w:tab/>
      </w:r>
      <w:r w:rsidRPr="00EA761C">
        <w:rPr>
          <w:rFonts w:ascii="Arial" w:hAnsi="Arial"/>
          <w:sz w:val="22"/>
        </w:rPr>
        <w:tab/>
      </w:r>
      <w:r w:rsidRPr="00EA761C">
        <w:rPr>
          <w:rFonts w:ascii="Arial" w:hAnsi="Arial"/>
          <w:sz w:val="22"/>
        </w:rPr>
        <w:tab/>
        <w:t>Dr R Mackenzie</w:t>
      </w:r>
    </w:p>
    <w:p w:rsidR="00541AF3" w:rsidRPr="00EA761C" w:rsidRDefault="00541AF3" w:rsidP="00522D7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sz w:val="22"/>
        </w:rPr>
      </w:pPr>
      <w:r w:rsidRPr="00EA761C">
        <w:rPr>
          <w:rFonts w:ascii="Arial" w:hAnsi="Arial"/>
          <w:sz w:val="22"/>
        </w:rPr>
        <w:t xml:space="preserve">Training programme leads </w:t>
      </w:r>
      <w:r w:rsidRPr="00EA761C">
        <w:rPr>
          <w:rFonts w:ascii="Arial" w:hAnsi="Arial"/>
          <w:sz w:val="22"/>
        </w:rPr>
        <w:tab/>
      </w:r>
      <w:r w:rsidRPr="00EA761C">
        <w:rPr>
          <w:rFonts w:ascii="Arial" w:hAnsi="Arial"/>
          <w:sz w:val="22"/>
        </w:rPr>
        <w:tab/>
      </w:r>
      <w:r w:rsidRPr="00EA761C">
        <w:rPr>
          <w:rFonts w:ascii="Arial" w:hAnsi="Arial"/>
          <w:sz w:val="22"/>
        </w:rPr>
        <w:tab/>
      </w:r>
      <w:r w:rsidRPr="00EA761C">
        <w:rPr>
          <w:rFonts w:ascii="Arial" w:hAnsi="Arial"/>
          <w:sz w:val="22"/>
        </w:rPr>
        <w:tab/>
        <w:t>Dr S Lewis</w:t>
      </w:r>
    </w:p>
    <w:p w:rsidR="00541AF3" w:rsidRPr="00EA761C" w:rsidRDefault="00541AF3" w:rsidP="00522D7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EA761C">
        <w:rPr>
          <w:rFonts w:ascii="Arial" w:hAnsi="Arial"/>
          <w:sz w:val="22"/>
        </w:rPr>
        <w:t>Dr S Hearns</w:t>
      </w:r>
    </w:p>
    <w:p w:rsidR="00541AF3" w:rsidRPr="00EA761C" w:rsidRDefault="00541AF3" w:rsidP="00522D7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sz w:val="22"/>
        </w:rPr>
      </w:pPr>
      <w:r w:rsidRPr="00EA761C">
        <w:rPr>
          <w:rFonts w:ascii="Arial" w:hAnsi="Arial"/>
          <w:sz w:val="22"/>
        </w:rPr>
        <w:t>Assessment blueprint leads</w:t>
      </w:r>
      <w:r w:rsidRPr="00EA761C">
        <w:rPr>
          <w:rFonts w:ascii="Arial" w:hAnsi="Arial"/>
          <w:sz w:val="22"/>
        </w:rPr>
        <w:tab/>
      </w:r>
      <w:r w:rsidRPr="00EA761C">
        <w:rPr>
          <w:rFonts w:ascii="Arial" w:hAnsi="Arial"/>
          <w:sz w:val="22"/>
        </w:rPr>
        <w:tab/>
      </w:r>
      <w:r w:rsidRPr="00EA761C">
        <w:rPr>
          <w:rFonts w:ascii="Arial" w:hAnsi="Arial"/>
          <w:sz w:val="22"/>
        </w:rPr>
        <w:tab/>
      </w:r>
      <w:r w:rsidRPr="00EA761C">
        <w:rPr>
          <w:rFonts w:ascii="Arial" w:hAnsi="Arial"/>
          <w:sz w:val="22"/>
        </w:rPr>
        <w:tab/>
        <w:t>Dr J Klein</w:t>
      </w:r>
    </w:p>
    <w:p w:rsidR="00541AF3" w:rsidRPr="00EA761C" w:rsidRDefault="00541AF3" w:rsidP="00522D7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2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EA761C">
        <w:rPr>
          <w:rFonts w:ascii="Arial" w:hAnsi="Arial"/>
          <w:sz w:val="22"/>
        </w:rPr>
        <w:t>Dr M Bloch</w:t>
      </w:r>
    </w:p>
    <w:p w:rsidR="00541AF3" w:rsidRPr="00EA761C" w:rsidRDefault="00541AF3" w:rsidP="00522D7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20"/>
        <w:jc w:val="both"/>
        <w:rPr>
          <w:rFonts w:ascii="Arial" w:hAnsi="Arial"/>
          <w:b/>
          <w:sz w:val="22"/>
        </w:rPr>
      </w:pPr>
      <w:r w:rsidRPr="00EA761C">
        <w:rPr>
          <w:rFonts w:ascii="Arial" w:hAnsi="Arial"/>
          <w:b/>
          <w:sz w:val="22"/>
        </w:rPr>
        <w:t>College Curriculum Committee representatives</w:t>
      </w:r>
    </w:p>
    <w:p w:rsidR="00541AF3" w:rsidRPr="00EA761C" w:rsidRDefault="00541AF3" w:rsidP="00522D7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sz w:val="22"/>
        </w:rPr>
      </w:pPr>
      <w:r w:rsidRPr="00EA761C">
        <w:rPr>
          <w:rFonts w:ascii="Arial" w:hAnsi="Arial"/>
          <w:sz w:val="22"/>
        </w:rPr>
        <w:t>C</w:t>
      </w:r>
      <w:r>
        <w:rPr>
          <w:rFonts w:ascii="Arial" w:hAnsi="Arial"/>
          <w:sz w:val="22"/>
        </w:rPr>
        <w:t>ollege of Emergency Medicine</w:t>
      </w:r>
      <w:r>
        <w:rPr>
          <w:rFonts w:ascii="Arial" w:hAnsi="Arial"/>
          <w:sz w:val="22"/>
        </w:rPr>
        <w:tab/>
      </w:r>
      <w:r>
        <w:rPr>
          <w:rFonts w:ascii="Arial" w:hAnsi="Arial"/>
          <w:sz w:val="22"/>
        </w:rPr>
        <w:tab/>
      </w:r>
      <w:r>
        <w:rPr>
          <w:rFonts w:ascii="Arial" w:hAnsi="Arial"/>
          <w:sz w:val="22"/>
        </w:rPr>
        <w:tab/>
      </w:r>
      <w:r w:rsidRPr="00EA761C">
        <w:rPr>
          <w:rFonts w:ascii="Arial" w:hAnsi="Arial"/>
          <w:sz w:val="22"/>
        </w:rPr>
        <w:t xml:space="preserve">Dr M Clancy </w:t>
      </w:r>
    </w:p>
    <w:p w:rsidR="00541AF3" w:rsidRPr="00EA761C" w:rsidRDefault="00541AF3" w:rsidP="00522D7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sz w:val="22"/>
        </w:rPr>
      </w:pPr>
      <w:r w:rsidRPr="00EA761C">
        <w:rPr>
          <w:rFonts w:ascii="Arial" w:hAnsi="Arial"/>
          <w:sz w:val="22"/>
        </w:rPr>
        <w:t>Ro</w:t>
      </w:r>
      <w:r>
        <w:rPr>
          <w:rFonts w:ascii="Arial" w:hAnsi="Arial"/>
          <w:sz w:val="22"/>
        </w:rPr>
        <w:t>yal College of Anaesthetists</w:t>
      </w:r>
      <w:r>
        <w:rPr>
          <w:rFonts w:ascii="Arial" w:hAnsi="Arial"/>
          <w:sz w:val="22"/>
        </w:rPr>
        <w:tab/>
      </w:r>
      <w:r>
        <w:rPr>
          <w:rFonts w:ascii="Arial" w:hAnsi="Arial"/>
          <w:sz w:val="22"/>
        </w:rPr>
        <w:tab/>
      </w:r>
      <w:r>
        <w:rPr>
          <w:rFonts w:ascii="Arial" w:hAnsi="Arial"/>
          <w:sz w:val="22"/>
        </w:rPr>
        <w:tab/>
      </w:r>
      <w:r w:rsidRPr="00EA761C">
        <w:rPr>
          <w:rFonts w:ascii="Arial" w:hAnsi="Arial"/>
          <w:sz w:val="22"/>
        </w:rPr>
        <w:t xml:space="preserve">Dr J Henning </w:t>
      </w:r>
    </w:p>
    <w:p w:rsidR="00541AF3" w:rsidRPr="00EA761C" w:rsidRDefault="00541AF3" w:rsidP="00522D7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sz w:val="22"/>
        </w:rPr>
      </w:pPr>
      <w:r w:rsidRPr="00EA761C">
        <w:rPr>
          <w:rFonts w:ascii="Arial" w:hAnsi="Arial"/>
          <w:sz w:val="22"/>
        </w:rPr>
        <w:t>Faculty of Pre-hospital Care</w:t>
      </w:r>
      <w:r w:rsidRPr="00EA761C">
        <w:rPr>
          <w:rFonts w:ascii="Arial" w:hAnsi="Arial"/>
          <w:sz w:val="22"/>
        </w:rPr>
        <w:tab/>
      </w:r>
      <w:r w:rsidRPr="00EA761C">
        <w:rPr>
          <w:rFonts w:ascii="Arial" w:hAnsi="Arial"/>
          <w:sz w:val="22"/>
        </w:rPr>
        <w:tab/>
      </w:r>
      <w:r w:rsidRPr="00EA761C">
        <w:rPr>
          <w:rFonts w:ascii="Arial" w:hAnsi="Arial"/>
          <w:sz w:val="22"/>
        </w:rPr>
        <w:tab/>
      </w:r>
      <w:r w:rsidRPr="00EA761C">
        <w:rPr>
          <w:rFonts w:ascii="Arial" w:hAnsi="Arial"/>
          <w:sz w:val="22"/>
        </w:rPr>
        <w:tab/>
        <w:t>Dr R Fairhurst</w:t>
      </w:r>
    </w:p>
    <w:p w:rsidR="00541AF3" w:rsidRPr="00EA761C" w:rsidRDefault="00541AF3" w:rsidP="00522D7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sz w:val="22"/>
        </w:rPr>
      </w:pPr>
      <w:r w:rsidRPr="00EA761C">
        <w:rPr>
          <w:rFonts w:ascii="Arial" w:hAnsi="Arial"/>
          <w:sz w:val="22"/>
        </w:rPr>
        <w:t>Royal Col</w:t>
      </w:r>
      <w:r>
        <w:rPr>
          <w:rFonts w:ascii="Arial" w:hAnsi="Arial"/>
          <w:sz w:val="22"/>
        </w:rPr>
        <w:t>lege of General Practitioners</w:t>
      </w:r>
      <w:r>
        <w:rPr>
          <w:rFonts w:ascii="Arial" w:hAnsi="Arial"/>
          <w:sz w:val="22"/>
        </w:rPr>
        <w:tab/>
      </w:r>
      <w:r>
        <w:rPr>
          <w:rFonts w:ascii="Arial" w:hAnsi="Arial"/>
          <w:sz w:val="22"/>
        </w:rPr>
        <w:tab/>
      </w:r>
      <w:r w:rsidRPr="00EA761C">
        <w:rPr>
          <w:rFonts w:ascii="Arial" w:hAnsi="Arial"/>
          <w:sz w:val="22"/>
        </w:rPr>
        <w:t xml:space="preserve">Dr M Russell </w:t>
      </w:r>
    </w:p>
    <w:p w:rsidR="00541AF3" w:rsidRPr="00EA761C" w:rsidRDefault="00541AF3" w:rsidP="00522D7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sz w:val="22"/>
        </w:rPr>
      </w:pPr>
      <w:r w:rsidRPr="00EA761C">
        <w:rPr>
          <w:rFonts w:ascii="Arial" w:hAnsi="Arial"/>
          <w:sz w:val="22"/>
        </w:rPr>
        <w:t xml:space="preserve">Royal College of Paediatrics </w:t>
      </w:r>
    </w:p>
    <w:p w:rsidR="00541AF3" w:rsidRPr="00CD6001" w:rsidRDefault="00541AF3" w:rsidP="00522D7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20"/>
        <w:jc w:val="both"/>
        <w:rPr>
          <w:rFonts w:ascii="Arial" w:hAnsi="Arial"/>
          <w:i/>
          <w:sz w:val="22"/>
        </w:rPr>
      </w:pPr>
      <w:r>
        <w:rPr>
          <w:rFonts w:ascii="Arial" w:hAnsi="Arial"/>
          <w:sz w:val="22"/>
        </w:rPr>
        <w:t>and Child Health</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EA761C">
        <w:rPr>
          <w:rFonts w:ascii="Arial" w:hAnsi="Arial"/>
          <w:sz w:val="22"/>
        </w:rPr>
        <w:t>Ms L Smith</w:t>
      </w:r>
    </w:p>
    <w:p w:rsidR="00541AF3" w:rsidRPr="00EA761C" w:rsidRDefault="00541AF3" w:rsidP="00522D7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20"/>
        <w:jc w:val="both"/>
        <w:rPr>
          <w:rFonts w:ascii="Arial" w:hAnsi="Arial"/>
          <w:b/>
          <w:sz w:val="22"/>
        </w:rPr>
      </w:pPr>
      <w:r w:rsidRPr="00EA761C">
        <w:rPr>
          <w:rFonts w:ascii="Arial" w:hAnsi="Arial"/>
          <w:b/>
          <w:sz w:val="22"/>
        </w:rPr>
        <w:t>Other organisation representatives</w:t>
      </w:r>
    </w:p>
    <w:p w:rsidR="00541AF3" w:rsidRPr="00EA761C" w:rsidRDefault="00541AF3" w:rsidP="00522D7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sz w:val="22"/>
        </w:rPr>
      </w:pPr>
      <w:r w:rsidRPr="00EA761C">
        <w:rPr>
          <w:rFonts w:ascii="Arial" w:hAnsi="Arial"/>
          <w:sz w:val="22"/>
        </w:rPr>
        <w:t>Ro</w:t>
      </w:r>
      <w:r>
        <w:rPr>
          <w:rFonts w:ascii="Arial" w:hAnsi="Arial"/>
          <w:sz w:val="22"/>
        </w:rPr>
        <w:t>yal College of Psychiatrists</w:t>
      </w:r>
      <w:r>
        <w:rPr>
          <w:rFonts w:ascii="Arial" w:hAnsi="Arial"/>
          <w:sz w:val="22"/>
        </w:rPr>
        <w:tab/>
      </w:r>
      <w:r>
        <w:rPr>
          <w:rFonts w:ascii="Arial" w:hAnsi="Arial"/>
          <w:sz w:val="22"/>
        </w:rPr>
        <w:tab/>
      </w:r>
      <w:r>
        <w:rPr>
          <w:rFonts w:ascii="Arial" w:hAnsi="Arial"/>
          <w:sz w:val="22"/>
        </w:rPr>
        <w:tab/>
      </w:r>
      <w:r w:rsidRPr="00EA761C">
        <w:rPr>
          <w:rFonts w:ascii="Arial" w:hAnsi="Arial"/>
          <w:sz w:val="22"/>
        </w:rPr>
        <w:t>Prof R Williams</w:t>
      </w:r>
    </w:p>
    <w:p w:rsidR="00541AF3" w:rsidRPr="00EA761C" w:rsidRDefault="00541AF3" w:rsidP="00522D7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sz w:val="22"/>
        </w:rPr>
      </w:pPr>
      <w:r w:rsidRPr="00EA761C">
        <w:rPr>
          <w:rFonts w:ascii="Arial" w:hAnsi="Arial"/>
          <w:sz w:val="22"/>
        </w:rPr>
        <w:t xml:space="preserve">Centre for Workforce Intelligence </w:t>
      </w:r>
      <w:r w:rsidRPr="00EA761C">
        <w:rPr>
          <w:rFonts w:ascii="Arial" w:hAnsi="Arial"/>
          <w:sz w:val="22"/>
        </w:rPr>
        <w:tab/>
      </w:r>
      <w:r w:rsidRPr="00EA761C">
        <w:rPr>
          <w:rFonts w:ascii="Arial" w:hAnsi="Arial"/>
          <w:sz w:val="22"/>
        </w:rPr>
        <w:tab/>
      </w:r>
      <w:r w:rsidRPr="00EA761C">
        <w:rPr>
          <w:rFonts w:ascii="Arial" w:hAnsi="Arial"/>
          <w:sz w:val="22"/>
        </w:rPr>
        <w:tab/>
        <w:t>Dr H Simpson</w:t>
      </w:r>
    </w:p>
    <w:p w:rsidR="00541AF3" w:rsidRPr="00EA761C" w:rsidRDefault="00541AF3" w:rsidP="00522D7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sz w:val="22"/>
        </w:rPr>
      </w:pPr>
      <w:r>
        <w:rPr>
          <w:rFonts w:ascii="Arial" w:hAnsi="Arial"/>
          <w:sz w:val="22"/>
        </w:rPr>
        <w:t xml:space="preserve">Postgraduate Deanery </w:t>
      </w:r>
      <w:r>
        <w:rPr>
          <w:rFonts w:ascii="Arial" w:hAnsi="Arial"/>
          <w:sz w:val="22"/>
        </w:rPr>
        <w:tab/>
      </w:r>
      <w:r>
        <w:rPr>
          <w:rFonts w:ascii="Arial" w:hAnsi="Arial"/>
          <w:sz w:val="22"/>
        </w:rPr>
        <w:tab/>
      </w:r>
      <w:r>
        <w:rPr>
          <w:rFonts w:ascii="Arial" w:hAnsi="Arial"/>
          <w:sz w:val="22"/>
        </w:rPr>
        <w:tab/>
      </w:r>
      <w:r>
        <w:rPr>
          <w:rFonts w:ascii="Arial" w:hAnsi="Arial"/>
          <w:sz w:val="22"/>
        </w:rPr>
        <w:tab/>
      </w:r>
      <w:r w:rsidRPr="00EA761C">
        <w:rPr>
          <w:rFonts w:ascii="Arial" w:hAnsi="Arial"/>
          <w:sz w:val="22"/>
        </w:rPr>
        <w:t>Dr M Dronfield</w:t>
      </w:r>
    </w:p>
    <w:p w:rsidR="00541AF3" w:rsidRPr="00EA761C" w:rsidRDefault="00541AF3" w:rsidP="00522D7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i/>
          <w:sz w:val="22"/>
        </w:rPr>
      </w:pPr>
      <w:r>
        <w:rPr>
          <w:rFonts w:ascii="Arial" w:hAnsi="Arial"/>
          <w:sz w:val="22"/>
        </w:rPr>
        <w:t>London HEMS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EA761C">
        <w:rPr>
          <w:rFonts w:ascii="Arial" w:hAnsi="Arial"/>
          <w:sz w:val="22"/>
        </w:rPr>
        <w:t>Dr A Weaver</w:t>
      </w:r>
      <w:r w:rsidRPr="00EA761C">
        <w:rPr>
          <w:rFonts w:ascii="Arial" w:hAnsi="Arial"/>
          <w:i/>
          <w:sz w:val="22"/>
        </w:rPr>
        <w:t xml:space="preserve"> </w:t>
      </w:r>
    </w:p>
    <w:p w:rsidR="00541AF3" w:rsidRPr="00EA761C" w:rsidRDefault="00541AF3" w:rsidP="00522D7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sz w:val="22"/>
        </w:rPr>
      </w:pPr>
      <w:r w:rsidRPr="00EA761C">
        <w:rPr>
          <w:rFonts w:ascii="Arial" w:hAnsi="Arial"/>
          <w:sz w:val="22"/>
        </w:rPr>
        <w:t>N</w:t>
      </w:r>
      <w:r>
        <w:rPr>
          <w:rFonts w:ascii="Arial" w:hAnsi="Arial"/>
          <w:sz w:val="22"/>
        </w:rPr>
        <w:t>HS Ambulance Service</w:t>
      </w:r>
      <w:r>
        <w:rPr>
          <w:rFonts w:ascii="Arial" w:hAnsi="Arial"/>
          <w:sz w:val="22"/>
        </w:rPr>
        <w:tab/>
      </w:r>
      <w:r>
        <w:rPr>
          <w:rFonts w:ascii="Arial" w:hAnsi="Arial"/>
          <w:sz w:val="22"/>
        </w:rPr>
        <w:tab/>
      </w:r>
      <w:r>
        <w:rPr>
          <w:rFonts w:ascii="Arial" w:hAnsi="Arial"/>
          <w:sz w:val="22"/>
        </w:rPr>
        <w:tab/>
      </w:r>
      <w:r>
        <w:rPr>
          <w:rFonts w:ascii="Arial" w:hAnsi="Arial"/>
          <w:sz w:val="22"/>
        </w:rPr>
        <w:tab/>
      </w:r>
      <w:r w:rsidRPr="00EA761C">
        <w:rPr>
          <w:rFonts w:ascii="Arial" w:hAnsi="Arial"/>
          <w:sz w:val="22"/>
        </w:rPr>
        <w:t>Dr J Black</w:t>
      </w:r>
    </w:p>
    <w:p w:rsidR="00541AF3" w:rsidRPr="00EA761C" w:rsidRDefault="00541AF3" w:rsidP="00522D7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20"/>
        <w:jc w:val="both"/>
        <w:rPr>
          <w:rFonts w:ascii="Arial" w:hAnsi="Arial"/>
          <w:sz w:val="22"/>
        </w:rPr>
      </w:pPr>
      <w:r>
        <w:rPr>
          <w:rFonts w:ascii="Arial" w:hAnsi="Arial"/>
          <w:sz w:val="22"/>
        </w:rPr>
        <w:t>Defence Medical Services</w:t>
      </w:r>
      <w:r>
        <w:rPr>
          <w:rFonts w:ascii="Arial" w:hAnsi="Arial"/>
          <w:sz w:val="22"/>
        </w:rPr>
        <w:tab/>
      </w:r>
      <w:r>
        <w:rPr>
          <w:rFonts w:ascii="Arial" w:hAnsi="Arial"/>
          <w:sz w:val="22"/>
        </w:rPr>
        <w:tab/>
      </w:r>
      <w:r>
        <w:rPr>
          <w:rFonts w:ascii="Arial" w:hAnsi="Arial"/>
          <w:sz w:val="22"/>
        </w:rPr>
        <w:tab/>
      </w:r>
      <w:r>
        <w:rPr>
          <w:rFonts w:ascii="Arial" w:hAnsi="Arial"/>
          <w:sz w:val="22"/>
        </w:rPr>
        <w:tab/>
        <w:t xml:space="preserve">Wg Cmd </w:t>
      </w:r>
      <w:r w:rsidRPr="00EA761C">
        <w:rPr>
          <w:rFonts w:ascii="Arial" w:hAnsi="Arial"/>
          <w:sz w:val="22"/>
        </w:rPr>
        <w:t>C Whittle</w:t>
      </w:r>
    </w:p>
    <w:p w:rsidR="00541AF3" w:rsidRPr="00EA761C" w:rsidRDefault="00541AF3" w:rsidP="00522D7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b/>
          <w:sz w:val="22"/>
        </w:rPr>
      </w:pPr>
      <w:r w:rsidRPr="00EA761C">
        <w:rPr>
          <w:rFonts w:ascii="Arial" w:hAnsi="Arial"/>
          <w:b/>
          <w:sz w:val="22"/>
        </w:rPr>
        <w:t>Trainee representatives</w:t>
      </w:r>
    </w:p>
    <w:p w:rsidR="00541AF3" w:rsidRPr="00EA761C" w:rsidRDefault="00541AF3" w:rsidP="00522D7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sz w:val="22"/>
        </w:rPr>
      </w:pPr>
      <w:r>
        <w:rPr>
          <w:rFonts w:ascii="Arial" w:hAnsi="Arial"/>
          <w:sz w:val="22"/>
        </w:rPr>
        <w:t>Anaesthetics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EA761C">
        <w:rPr>
          <w:rFonts w:ascii="Arial" w:hAnsi="Arial"/>
          <w:sz w:val="22"/>
        </w:rPr>
        <w:t>Dr A Steel</w:t>
      </w:r>
    </w:p>
    <w:p w:rsidR="00541AF3" w:rsidRPr="00EA761C" w:rsidRDefault="00541AF3" w:rsidP="00522D7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sz w:val="22"/>
        </w:rPr>
      </w:pPr>
      <w:r w:rsidRPr="00EA761C">
        <w:rPr>
          <w:rFonts w:ascii="Arial" w:hAnsi="Arial"/>
          <w:sz w:val="22"/>
        </w:rPr>
        <w:t>Emergency Medicine</w:t>
      </w:r>
      <w:r w:rsidRPr="00EA761C">
        <w:rPr>
          <w:rFonts w:ascii="Arial" w:hAnsi="Arial"/>
          <w:sz w:val="22"/>
        </w:rPr>
        <w:tab/>
      </w:r>
      <w:r w:rsidRPr="00EA761C">
        <w:rPr>
          <w:rFonts w:ascii="Arial" w:hAnsi="Arial"/>
          <w:sz w:val="22"/>
        </w:rPr>
        <w:tab/>
      </w:r>
      <w:r w:rsidRPr="00EA761C">
        <w:rPr>
          <w:rFonts w:ascii="Arial" w:hAnsi="Arial"/>
          <w:sz w:val="22"/>
        </w:rPr>
        <w:tab/>
      </w:r>
      <w:r w:rsidRPr="00EA761C">
        <w:rPr>
          <w:rFonts w:ascii="Arial" w:hAnsi="Arial"/>
          <w:sz w:val="22"/>
        </w:rPr>
        <w:tab/>
      </w:r>
      <w:r w:rsidRPr="00EA761C">
        <w:rPr>
          <w:rFonts w:ascii="Arial" w:hAnsi="Arial"/>
          <w:sz w:val="22"/>
        </w:rPr>
        <w:tab/>
        <w:t>Dr R Major</w:t>
      </w:r>
    </w:p>
    <w:p w:rsidR="00541AF3" w:rsidRPr="00EA761C" w:rsidRDefault="00541AF3" w:rsidP="00522D7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sz w:val="22"/>
        </w:rPr>
      </w:pPr>
      <w:r>
        <w:rPr>
          <w:rFonts w:ascii="Arial" w:hAnsi="Arial"/>
          <w:sz w:val="22"/>
        </w:rPr>
        <w:t>Paediatrics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EA761C">
        <w:rPr>
          <w:rFonts w:ascii="Arial" w:hAnsi="Arial"/>
          <w:sz w:val="22"/>
        </w:rPr>
        <w:t>Dr P Hyde</w:t>
      </w:r>
    </w:p>
    <w:p w:rsidR="00541AF3" w:rsidRPr="00EA761C" w:rsidRDefault="00541AF3" w:rsidP="00522D7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sz w:val="22"/>
        </w:rPr>
      </w:pPr>
      <w:r>
        <w:rPr>
          <w:rFonts w:ascii="Arial" w:hAnsi="Arial"/>
          <w:sz w:val="22"/>
        </w:rPr>
        <w:t>General Practice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EA761C">
        <w:rPr>
          <w:rFonts w:ascii="Arial" w:hAnsi="Arial"/>
          <w:sz w:val="22"/>
        </w:rPr>
        <w:t>Sqn Ldr A Manson</w:t>
      </w:r>
    </w:p>
    <w:p w:rsidR="00541AF3" w:rsidRPr="00EA761C" w:rsidRDefault="00541AF3" w:rsidP="00522D7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20"/>
        <w:jc w:val="both"/>
        <w:rPr>
          <w:rFonts w:ascii="Arial" w:hAnsi="Arial"/>
          <w:sz w:val="22"/>
        </w:rPr>
      </w:pPr>
      <w:r>
        <w:rPr>
          <w:rFonts w:ascii="Arial" w:hAnsi="Arial"/>
          <w:sz w:val="22"/>
        </w:rPr>
        <w:t>ST1-3</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EA761C">
        <w:rPr>
          <w:rFonts w:ascii="Arial" w:hAnsi="Arial"/>
          <w:sz w:val="22"/>
        </w:rPr>
        <w:t>Dr R Browne</w:t>
      </w:r>
    </w:p>
    <w:p w:rsidR="00541AF3" w:rsidRPr="00EA761C" w:rsidRDefault="00541AF3" w:rsidP="00522D7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20"/>
        <w:jc w:val="both"/>
        <w:rPr>
          <w:rFonts w:ascii="Arial" w:hAnsi="Arial"/>
          <w:b/>
          <w:sz w:val="22"/>
        </w:rPr>
      </w:pPr>
      <w:r w:rsidRPr="00EA761C">
        <w:rPr>
          <w:rFonts w:ascii="Arial" w:hAnsi="Arial"/>
          <w:b/>
          <w:sz w:val="22"/>
        </w:rPr>
        <w:t>Co-opted members</w:t>
      </w:r>
    </w:p>
    <w:p w:rsidR="00541AF3" w:rsidRPr="00EA761C" w:rsidRDefault="00541AF3" w:rsidP="00522D7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rPr>
      </w:pPr>
      <w:r w:rsidRPr="00EA761C">
        <w:rPr>
          <w:rFonts w:ascii="Arial" w:hAnsi="Arial"/>
          <w:sz w:val="22"/>
        </w:rPr>
        <w:t>Dr M Folman (General Practitioner)</w:t>
      </w:r>
    </w:p>
    <w:p w:rsidR="00541AF3" w:rsidRPr="00EA761C" w:rsidRDefault="00541AF3" w:rsidP="00522D7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rPr>
      </w:pPr>
      <w:r w:rsidRPr="00EA761C">
        <w:rPr>
          <w:rFonts w:ascii="Arial" w:hAnsi="Arial"/>
          <w:sz w:val="22"/>
        </w:rPr>
        <w:t>Dr A Booth (Faculty Training Fellow in PHEM)</w:t>
      </w:r>
      <w:r w:rsidRPr="00EA761C">
        <w:rPr>
          <w:rFonts w:ascii="Arial" w:hAnsi="Arial" w:cs="Arial"/>
          <w:sz w:val="22"/>
        </w:rPr>
        <w:t> </w:t>
      </w:r>
    </w:p>
    <w:p w:rsidR="00541AF3" w:rsidRPr="00EA761C" w:rsidRDefault="00541AF3" w:rsidP="00522D7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rPr>
      </w:pPr>
      <w:r w:rsidRPr="00EA761C">
        <w:rPr>
          <w:rFonts w:ascii="Arial" w:hAnsi="Arial"/>
          <w:sz w:val="22"/>
        </w:rPr>
        <w:t>Sqn Ldr C Adcock (Faculty Training Fellow in PHEM)</w:t>
      </w:r>
    </w:p>
    <w:p w:rsidR="00541AF3" w:rsidRPr="00EA761C" w:rsidRDefault="00541AF3" w:rsidP="00522D7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rPr>
      </w:pPr>
      <w:r w:rsidRPr="00EA761C">
        <w:rPr>
          <w:rFonts w:ascii="Arial" w:hAnsi="Arial"/>
          <w:sz w:val="22"/>
        </w:rPr>
        <w:t>Flt Lt R James (DMS doctor seconded to sub-specialty development programme)</w:t>
      </w:r>
      <w:r w:rsidRPr="00EA761C">
        <w:rPr>
          <w:rFonts w:ascii="Arial" w:hAnsi="Arial" w:cs="Arial"/>
          <w:sz w:val="22"/>
        </w:rPr>
        <w:t> </w:t>
      </w:r>
    </w:p>
    <w:p w:rsidR="00541AF3" w:rsidRPr="00EA761C" w:rsidRDefault="00541AF3" w:rsidP="00522D7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rPr>
      </w:pPr>
      <w:r w:rsidRPr="00EA761C">
        <w:rPr>
          <w:rFonts w:ascii="Arial" w:hAnsi="Arial"/>
          <w:sz w:val="22"/>
        </w:rPr>
        <w:t>Flt Lt O</w:t>
      </w:r>
      <w:r>
        <w:rPr>
          <w:rFonts w:ascii="Arial" w:hAnsi="Arial"/>
          <w:sz w:val="22"/>
        </w:rPr>
        <w:t xml:space="preserve"> Hawksley (DMS </w:t>
      </w:r>
      <w:r w:rsidRPr="00EA761C">
        <w:rPr>
          <w:rFonts w:ascii="Arial" w:hAnsi="Arial"/>
          <w:sz w:val="22"/>
        </w:rPr>
        <w:t>doctor seconded to sub-specialty development programme</w:t>
      </w:r>
      <w:r>
        <w:rPr>
          <w:rFonts w:ascii="Arial" w:hAnsi="Arial"/>
          <w:sz w:val="22"/>
        </w:rPr>
        <w:t>)</w:t>
      </w:r>
    </w:p>
    <w:p w:rsidR="00541AF3" w:rsidRPr="00EA761C" w:rsidRDefault="00541AF3" w:rsidP="00522D7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rPr>
      </w:pPr>
      <w:r w:rsidRPr="00EA761C">
        <w:rPr>
          <w:rFonts w:ascii="Arial" w:hAnsi="Arial"/>
          <w:sz w:val="22"/>
        </w:rPr>
        <w:t>Mr J Martin (Paramedic, East of England Ambulance Service)</w:t>
      </w:r>
    </w:p>
    <w:p w:rsidR="00541AF3" w:rsidRDefault="00541AF3" w:rsidP="00522D7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rPr>
      </w:pPr>
      <w:r w:rsidRPr="00EA761C">
        <w:rPr>
          <w:rFonts w:ascii="Arial" w:hAnsi="Arial"/>
          <w:sz w:val="22"/>
        </w:rPr>
        <w:t>Mr D Cody (Critical Care Paramedic, East of England Ambulance Service)</w:t>
      </w:r>
    </w:p>
    <w:p w:rsidR="00541AF3" w:rsidRPr="00EA761C" w:rsidRDefault="00541AF3" w:rsidP="00522D7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rPr>
      </w:pPr>
      <w:r>
        <w:rPr>
          <w:rFonts w:ascii="Arial" w:hAnsi="Arial"/>
          <w:sz w:val="22"/>
        </w:rPr>
        <w:t xml:space="preserve">Mr S Standen </w:t>
      </w:r>
      <w:r w:rsidRPr="00EA761C">
        <w:rPr>
          <w:rFonts w:ascii="Arial" w:hAnsi="Arial"/>
          <w:sz w:val="22"/>
        </w:rPr>
        <w:t>(Critical Care Paramedic, East of England Ambulance Service)</w:t>
      </w:r>
    </w:p>
    <w:p w:rsidR="00541AF3" w:rsidRDefault="00541AF3"/>
    <w:sectPr w:rsidR="00541AF3" w:rsidSect="007E21C5">
      <w:footerReference w:type="even" r:id="rId8"/>
      <w:footerReference w:type="default" r:id="rId9"/>
      <w:pgSz w:w="11900" w:h="16840"/>
      <w:pgMar w:top="1418"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AF3" w:rsidRDefault="00541AF3" w:rsidP="00786014">
      <w:pPr>
        <w:spacing w:after="0"/>
      </w:pPr>
      <w:r>
        <w:separator/>
      </w:r>
    </w:p>
  </w:endnote>
  <w:endnote w:type="continuationSeparator" w:id="0">
    <w:p w:rsidR="00541AF3" w:rsidRDefault="00541AF3" w:rsidP="0078601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gency FB"/>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Helvetica-Oblique">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AF3" w:rsidRDefault="00097B8F" w:rsidP="0026517E">
    <w:pPr>
      <w:pStyle w:val="Footer"/>
      <w:framePr w:wrap="around" w:vAnchor="text" w:hAnchor="margin" w:xAlign="right" w:y="1"/>
      <w:rPr>
        <w:rStyle w:val="PageNumber"/>
      </w:rPr>
    </w:pPr>
    <w:r>
      <w:rPr>
        <w:rStyle w:val="PageNumber"/>
      </w:rPr>
      <w:fldChar w:fldCharType="begin"/>
    </w:r>
    <w:r w:rsidR="00541AF3">
      <w:rPr>
        <w:rStyle w:val="PageNumber"/>
      </w:rPr>
      <w:instrText xml:space="preserve">PAGE  </w:instrText>
    </w:r>
    <w:r>
      <w:rPr>
        <w:rStyle w:val="PageNumber"/>
      </w:rPr>
      <w:fldChar w:fldCharType="end"/>
    </w:r>
  </w:p>
  <w:p w:rsidR="00541AF3" w:rsidRDefault="00541AF3" w:rsidP="0026517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AF3" w:rsidRDefault="00097B8F" w:rsidP="0026517E">
    <w:pPr>
      <w:pStyle w:val="Footer"/>
      <w:framePr w:wrap="around" w:vAnchor="text" w:hAnchor="margin" w:xAlign="right" w:y="1"/>
      <w:rPr>
        <w:rStyle w:val="PageNumber"/>
      </w:rPr>
    </w:pPr>
    <w:r>
      <w:rPr>
        <w:rStyle w:val="PageNumber"/>
      </w:rPr>
      <w:fldChar w:fldCharType="begin"/>
    </w:r>
    <w:r w:rsidR="00541AF3">
      <w:rPr>
        <w:rStyle w:val="PageNumber"/>
      </w:rPr>
      <w:instrText xml:space="preserve">PAGE  </w:instrText>
    </w:r>
    <w:r>
      <w:rPr>
        <w:rStyle w:val="PageNumber"/>
      </w:rPr>
      <w:fldChar w:fldCharType="separate"/>
    </w:r>
    <w:r w:rsidR="001B22E8">
      <w:rPr>
        <w:rStyle w:val="PageNumber"/>
        <w:noProof/>
      </w:rPr>
      <w:t>1</w:t>
    </w:r>
    <w:r>
      <w:rPr>
        <w:rStyle w:val="PageNumber"/>
      </w:rPr>
      <w:fldChar w:fldCharType="end"/>
    </w:r>
  </w:p>
  <w:p w:rsidR="00541AF3" w:rsidRDefault="00541AF3" w:rsidP="0026517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AF3" w:rsidRDefault="00541AF3" w:rsidP="00786014">
      <w:pPr>
        <w:spacing w:after="0"/>
      </w:pPr>
      <w:r>
        <w:separator/>
      </w:r>
    </w:p>
  </w:footnote>
  <w:footnote w:type="continuationSeparator" w:id="0">
    <w:p w:rsidR="00541AF3" w:rsidRDefault="00541AF3" w:rsidP="00786014">
      <w:pPr>
        <w:spacing w:after="0"/>
      </w:pPr>
      <w:r>
        <w:continuationSeparator/>
      </w:r>
    </w:p>
  </w:footnote>
  <w:footnote w:id="1">
    <w:p w:rsidR="00541AF3" w:rsidRDefault="00541AF3" w:rsidP="007E21C5">
      <w:pPr>
        <w:pStyle w:val="FootnoteText"/>
        <w:spacing w:after="0"/>
      </w:pPr>
      <w:r w:rsidRPr="004650F0">
        <w:rPr>
          <w:rStyle w:val="FootnoteReference"/>
          <w:rFonts w:ascii="Arial" w:hAnsi="Arial"/>
          <w:sz w:val="20"/>
        </w:rPr>
        <w:footnoteRef/>
      </w:r>
      <w:r w:rsidRPr="004650F0">
        <w:rPr>
          <w:rFonts w:ascii="Arial" w:hAnsi="Arial"/>
          <w:sz w:val="20"/>
        </w:rPr>
        <w:t xml:space="preserve"> Direction of Travel for Urgent Care: a discussion document. Department of Health, October 2006</w:t>
      </w:r>
    </w:p>
  </w:footnote>
  <w:footnote w:id="2">
    <w:p w:rsidR="00541AF3" w:rsidRDefault="00541AF3" w:rsidP="007E21C5">
      <w:pPr>
        <w:pStyle w:val="FootnoteText"/>
        <w:spacing w:after="0"/>
      </w:pPr>
      <w:r w:rsidRPr="004650F0">
        <w:rPr>
          <w:rStyle w:val="FootnoteReference"/>
          <w:rFonts w:ascii="Arial" w:hAnsi="Arial"/>
          <w:sz w:val="20"/>
        </w:rPr>
        <w:footnoteRef/>
      </w:r>
      <w:r w:rsidRPr="004650F0">
        <w:rPr>
          <w:rFonts w:ascii="Arial" w:hAnsi="Arial"/>
          <w:sz w:val="20"/>
        </w:rPr>
        <w:t xml:space="preserve"> See </w:t>
      </w:r>
      <w:hyperlink r:id="rId1" w:history="1">
        <w:r w:rsidRPr="004650F0">
          <w:rPr>
            <w:rStyle w:val="Hyperlink"/>
            <w:rFonts w:ascii="Arial" w:hAnsi="Arial"/>
            <w:sz w:val="20"/>
          </w:rPr>
          <w:t>http://www.skillsforhealth.org.uk/page/career-frameworks</w:t>
        </w:r>
      </w:hyperlink>
      <w:r w:rsidRPr="004650F0">
        <w:rPr>
          <w:rFonts w:ascii="Arial" w:hAnsi="Arial"/>
          <w:sz w:val="20"/>
        </w:rPr>
        <w:t xml:space="preserve"> </w:t>
      </w:r>
    </w:p>
  </w:footnote>
  <w:footnote w:id="3">
    <w:p w:rsidR="00541AF3" w:rsidRDefault="00541AF3" w:rsidP="007E21C5">
      <w:pPr>
        <w:pStyle w:val="FootnoteText"/>
        <w:spacing w:after="0"/>
      </w:pPr>
      <w:r w:rsidRPr="004650F0">
        <w:rPr>
          <w:rStyle w:val="FootnoteReference"/>
          <w:rFonts w:ascii="Arial" w:hAnsi="Arial"/>
          <w:sz w:val="20"/>
        </w:rPr>
        <w:footnoteRef/>
      </w:r>
      <w:r w:rsidRPr="004650F0">
        <w:rPr>
          <w:rFonts w:ascii="Arial" w:hAnsi="Arial"/>
          <w:sz w:val="20"/>
        </w:rPr>
        <w:t xml:space="preserve"> A license to practice pre-hospital and retrieval medicine. </w:t>
      </w:r>
      <w:r w:rsidRPr="007A3C69">
        <w:rPr>
          <w:rFonts w:ascii="Arial" w:hAnsi="Arial"/>
          <w:bCs/>
          <w:i/>
          <w:iCs/>
          <w:sz w:val="20"/>
        </w:rPr>
        <w:t xml:space="preserve">Emerg Med J </w:t>
      </w:r>
      <w:r w:rsidRPr="004650F0">
        <w:rPr>
          <w:rFonts w:ascii="Arial" w:hAnsi="Arial"/>
          <w:sz w:val="20"/>
        </w:rPr>
        <w:t>2005;</w:t>
      </w:r>
      <w:r w:rsidRPr="000B4C95">
        <w:rPr>
          <w:rFonts w:ascii="Arial" w:hAnsi="Arial"/>
          <w:b/>
          <w:sz w:val="20"/>
        </w:rPr>
        <w:t>22</w:t>
      </w:r>
      <w:r w:rsidRPr="004650F0">
        <w:rPr>
          <w:rFonts w:ascii="Arial" w:hAnsi="Arial"/>
          <w:sz w:val="20"/>
        </w:rPr>
        <w:t>:286-293.</w:t>
      </w:r>
    </w:p>
  </w:footnote>
  <w:footnote w:id="4">
    <w:p w:rsidR="00541AF3" w:rsidRDefault="00541AF3" w:rsidP="007E21C5">
      <w:pPr>
        <w:pStyle w:val="FootnoteText"/>
        <w:spacing w:after="0"/>
      </w:pPr>
      <w:r w:rsidRPr="004650F0">
        <w:rPr>
          <w:rStyle w:val="FootnoteReference"/>
          <w:rFonts w:ascii="Arial" w:hAnsi="Arial"/>
          <w:sz w:val="20"/>
        </w:rPr>
        <w:footnoteRef/>
      </w:r>
      <w:r w:rsidRPr="004650F0">
        <w:rPr>
          <w:rFonts w:ascii="Arial" w:hAnsi="Arial"/>
          <w:sz w:val="20"/>
        </w:rPr>
        <w:t xml:space="preserve"> </w:t>
      </w:r>
      <w:r w:rsidRPr="000B4C95">
        <w:rPr>
          <w:rFonts w:ascii="Arial" w:hAnsi="Arial"/>
          <w:sz w:val="20"/>
        </w:rPr>
        <w:t>NHS Clinical Advisory Groups Report. Regional Networks for</w:t>
      </w:r>
      <w:r>
        <w:rPr>
          <w:rFonts w:ascii="Arial" w:hAnsi="Arial"/>
          <w:sz w:val="20"/>
        </w:rPr>
        <w:t xml:space="preserve"> </w:t>
      </w:r>
      <w:r w:rsidRPr="000B4C95">
        <w:rPr>
          <w:rFonts w:ascii="Arial" w:hAnsi="Arial"/>
          <w:sz w:val="20"/>
        </w:rPr>
        <w:t xml:space="preserve">Major Trauma. 2010. </w:t>
      </w:r>
    </w:p>
  </w:footnote>
  <w:footnote w:id="5">
    <w:p w:rsidR="00541AF3" w:rsidRDefault="00541AF3" w:rsidP="007E21C5">
      <w:pPr>
        <w:pStyle w:val="FootnoteText"/>
        <w:spacing w:after="0"/>
      </w:pPr>
      <w:r w:rsidRPr="004650F0">
        <w:rPr>
          <w:rStyle w:val="FootnoteReference"/>
          <w:rFonts w:ascii="Arial" w:hAnsi="Arial"/>
          <w:sz w:val="20"/>
        </w:rPr>
        <w:footnoteRef/>
      </w:r>
      <w:r w:rsidRPr="004650F0">
        <w:rPr>
          <w:rFonts w:ascii="Arial" w:hAnsi="Arial"/>
          <w:sz w:val="20"/>
        </w:rPr>
        <w:t xml:space="preserve"> </w:t>
      </w:r>
      <w:r w:rsidRPr="007A3C69">
        <w:rPr>
          <w:rFonts w:ascii="Arial" w:hAnsi="Arial"/>
          <w:bCs/>
          <w:sz w:val="20"/>
        </w:rPr>
        <w:t>Views regarding the provision of prehospital critical care in the UK</w:t>
      </w:r>
      <w:r>
        <w:rPr>
          <w:rFonts w:ascii="Arial" w:hAnsi="Arial"/>
          <w:bCs/>
          <w:sz w:val="20"/>
        </w:rPr>
        <w:t xml:space="preserve">. </w:t>
      </w:r>
      <w:r w:rsidRPr="007A3C69">
        <w:rPr>
          <w:rFonts w:ascii="Arial" w:hAnsi="Arial"/>
          <w:bCs/>
          <w:i/>
          <w:iCs/>
          <w:sz w:val="20"/>
        </w:rPr>
        <w:t xml:space="preserve">Emerg Med J </w:t>
      </w:r>
      <w:r w:rsidRPr="007A3C69">
        <w:rPr>
          <w:rFonts w:ascii="Arial" w:hAnsi="Arial"/>
          <w:bCs/>
          <w:sz w:val="20"/>
        </w:rPr>
        <w:t>2009;</w:t>
      </w:r>
      <w:r w:rsidRPr="007A3C69">
        <w:rPr>
          <w:rFonts w:ascii="Arial" w:hAnsi="Arial"/>
          <w:b/>
          <w:bCs/>
          <w:sz w:val="20"/>
        </w:rPr>
        <w:t>26</w:t>
      </w:r>
      <w:r w:rsidRPr="007A3C69">
        <w:rPr>
          <w:rFonts w:ascii="Arial" w:hAnsi="Arial"/>
          <w:bCs/>
          <w:sz w:val="20"/>
        </w:rPr>
        <w:t>:365-370</w:t>
      </w:r>
      <w:r>
        <w:rPr>
          <w:rFonts w:ascii="Arial" w:hAnsi="Arial"/>
          <w:bCs/>
          <w:sz w:val="20"/>
        </w:rPr>
        <w:t>.</w:t>
      </w:r>
    </w:p>
  </w:footnote>
  <w:footnote w:id="6">
    <w:p w:rsidR="00541AF3" w:rsidRDefault="00541AF3" w:rsidP="007E21C5">
      <w:pPr>
        <w:pStyle w:val="FootnoteText"/>
        <w:spacing w:after="0"/>
      </w:pPr>
      <w:r w:rsidRPr="004650F0">
        <w:rPr>
          <w:rStyle w:val="FootnoteReference"/>
          <w:rFonts w:ascii="Arial" w:hAnsi="Arial"/>
          <w:sz w:val="20"/>
        </w:rPr>
        <w:footnoteRef/>
      </w:r>
      <w:r w:rsidRPr="004650F0">
        <w:rPr>
          <w:rFonts w:ascii="Arial" w:hAnsi="Arial"/>
          <w:sz w:val="20"/>
        </w:rPr>
        <w:t xml:space="preserve"> </w:t>
      </w:r>
      <w:r w:rsidRPr="000B4C95">
        <w:rPr>
          <w:rFonts w:ascii="Arial" w:hAnsi="Arial"/>
          <w:sz w:val="20"/>
        </w:rPr>
        <w:t>Availability and utilisation of physician-based</w:t>
      </w:r>
      <w:r>
        <w:rPr>
          <w:rFonts w:ascii="Arial" w:hAnsi="Arial"/>
          <w:sz w:val="20"/>
        </w:rPr>
        <w:t xml:space="preserve"> </w:t>
      </w:r>
      <w:r w:rsidRPr="000B4C95">
        <w:rPr>
          <w:rFonts w:ascii="Arial" w:hAnsi="Arial"/>
          <w:sz w:val="20"/>
        </w:rPr>
        <w:t>pre-hospital critical care support to the NHS</w:t>
      </w:r>
      <w:r>
        <w:rPr>
          <w:rFonts w:ascii="Arial" w:hAnsi="Arial"/>
          <w:sz w:val="20"/>
        </w:rPr>
        <w:t xml:space="preserve"> </w:t>
      </w:r>
      <w:r w:rsidRPr="000B4C95">
        <w:rPr>
          <w:rFonts w:ascii="Arial" w:hAnsi="Arial"/>
          <w:sz w:val="20"/>
        </w:rPr>
        <w:t>ambulance service in England, Wales and</w:t>
      </w:r>
      <w:r>
        <w:rPr>
          <w:rFonts w:ascii="Arial" w:hAnsi="Arial"/>
          <w:sz w:val="20"/>
        </w:rPr>
        <w:t xml:space="preserve"> </w:t>
      </w:r>
      <w:r w:rsidRPr="000B4C95">
        <w:rPr>
          <w:rFonts w:ascii="Arial" w:hAnsi="Arial"/>
          <w:sz w:val="20"/>
        </w:rPr>
        <w:t>Northern Ireland</w:t>
      </w:r>
      <w:r>
        <w:rPr>
          <w:rFonts w:ascii="Arial" w:hAnsi="Arial"/>
          <w:sz w:val="20"/>
        </w:rPr>
        <w:t xml:space="preserve">. </w:t>
      </w:r>
      <w:r w:rsidRPr="007A3C69">
        <w:rPr>
          <w:rFonts w:ascii="Arial" w:hAnsi="Arial"/>
          <w:bCs/>
          <w:i/>
          <w:iCs/>
          <w:sz w:val="20"/>
        </w:rPr>
        <w:t xml:space="preserve">Emerg Med J </w:t>
      </w:r>
      <w:r>
        <w:rPr>
          <w:rFonts w:ascii="Arial" w:hAnsi="Arial"/>
          <w:bCs/>
          <w:sz w:val="20"/>
        </w:rPr>
        <w:t>2011</w:t>
      </w:r>
      <w:r w:rsidRPr="007A3C69">
        <w:rPr>
          <w:rFonts w:ascii="Arial" w:hAnsi="Arial"/>
          <w:bCs/>
          <w:sz w:val="20"/>
        </w:rPr>
        <w:t>;</w:t>
      </w:r>
      <w:r>
        <w:rPr>
          <w:rFonts w:ascii="Arial" w:hAnsi="Arial"/>
          <w:b/>
          <w:bCs/>
          <w:sz w:val="20"/>
        </w:rPr>
        <w:t>00</w:t>
      </w:r>
      <w:r>
        <w:rPr>
          <w:rFonts w:ascii="Arial" w:hAnsi="Arial"/>
          <w:bCs/>
          <w:sz w:val="20"/>
        </w:rPr>
        <w:t>:000-00</w:t>
      </w:r>
      <w:r w:rsidRPr="007A3C69">
        <w:rPr>
          <w:rFonts w:ascii="Arial" w:hAnsi="Arial"/>
          <w:bCs/>
          <w:sz w:val="20"/>
        </w:rPr>
        <w:t>0</w:t>
      </w:r>
      <w:r>
        <w:rPr>
          <w:rFonts w:ascii="Arial" w:hAnsi="Arial"/>
          <w:bCs/>
          <w:sz w:val="20"/>
        </w:rPr>
        <w:t>.</w:t>
      </w:r>
    </w:p>
  </w:footnote>
  <w:footnote w:id="7">
    <w:p w:rsidR="00541AF3" w:rsidRDefault="00541AF3" w:rsidP="007E21C5">
      <w:pPr>
        <w:pStyle w:val="FootnoteText"/>
        <w:spacing w:after="0"/>
      </w:pPr>
      <w:r w:rsidRPr="004650F0">
        <w:rPr>
          <w:rStyle w:val="FootnoteReference"/>
          <w:rFonts w:ascii="Arial" w:hAnsi="Arial"/>
          <w:sz w:val="20"/>
        </w:rPr>
        <w:footnoteRef/>
      </w:r>
      <w:r w:rsidRPr="004650F0">
        <w:rPr>
          <w:rFonts w:ascii="Arial" w:hAnsi="Arial"/>
          <w:sz w:val="20"/>
        </w:rPr>
        <w:t xml:space="preserve"> </w:t>
      </w:r>
      <w:r w:rsidRPr="004650F0">
        <w:rPr>
          <w:rFonts w:ascii="Arial" w:hAnsi="Arial"/>
          <w:bCs/>
          <w:sz w:val="20"/>
        </w:rPr>
        <w:t>Clinical governance in pre-hospital care.</w:t>
      </w:r>
      <w:r>
        <w:rPr>
          <w:rFonts w:ascii="Arial" w:hAnsi="Arial"/>
          <w:bCs/>
          <w:sz w:val="20"/>
        </w:rPr>
        <w:t xml:space="preserve"> </w:t>
      </w:r>
      <w:r>
        <w:rPr>
          <w:rFonts w:ascii="Arial" w:hAnsi="Arial"/>
          <w:i/>
          <w:sz w:val="20"/>
        </w:rPr>
        <w:t>J R Soc Med,</w:t>
      </w:r>
      <w:r w:rsidRPr="004650F0">
        <w:rPr>
          <w:rFonts w:ascii="Arial" w:hAnsi="Arial"/>
          <w:i/>
          <w:sz w:val="20"/>
        </w:rPr>
        <w:t xml:space="preserve"> </w:t>
      </w:r>
      <w:r>
        <w:rPr>
          <w:rFonts w:ascii="Arial" w:hAnsi="Arial"/>
          <w:sz w:val="20"/>
        </w:rPr>
        <w:t>2001;94(Suppl 39):</w:t>
      </w:r>
      <w:r w:rsidRPr="004650F0">
        <w:rPr>
          <w:rFonts w:ascii="Arial" w:hAnsi="Arial"/>
          <w:sz w:val="20"/>
        </w:rPr>
        <w:t>38–42.</w:t>
      </w:r>
    </w:p>
  </w:footnote>
  <w:footnote w:id="8">
    <w:p w:rsidR="00541AF3" w:rsidRDefault="00541AF3" w:rsidP="007E21C5">
      <w:pPr>
        <w:widowControl w:val="0"/>
        <w:autoSpaceDE w:val="0"/>
        <w:autoSpaceDN w:val="0"/>
        <w:adjustRightInd w:val="0"/>
        <w:spacing w:after="0"/>
      </w:pPr>
      <w:r w:rsidRPr="007A3C69">
        <w:rPr>
          <w:rStyle w:val="FootnoteReference"/>
          <w:rFonts w:ascii="Arial" w:hAnsi="Arial"/>
          <w:sz w:val="20"/>
        </w:rPr>
        <w:footnoteRef/>
      </w:r>
      <w:r>
        <w:rPr>
          <w:rFonts w:ascii="Arial" w:hAnsi="Arial"/>
          <w:sz w:val="20"/>
        </w:rPr>
        <w:t xml:space="preserve"> Care Quality Commission. </w:t>
      </w:r>
      <w:r w:rsidRPr="007A3C69">
        <w:rPr>
          <w:rFonts w:ascii="Arial" w:hAnsi="Arial"/>
          <w:i/>
          <w:sz w:val="20"/>
        </w:rPr>
        <w:t>Essential standards for quality and safety.</w:t>
      </w:r>
      <w:r>
        <w:rPr>
          <w:rFonts w:ascii="Arial" w:hAnsi="Arial"/>
          <w:sz w:val="20"/>
        </w:rPr>
        <w:t xml:space="preserve"> March 2010. </w:t>
      </w:r>
    </w:p>
  </w:footnote>
  <w:footnote w:id="9">
    <w:p w:rsidR="00541AF3" w:rsidRDefault="00541AF3" w:rsidP="007E21C5">
      <w:pPr>
        <w:pStyle w:val="FootnoteText"/>
        <w:spacing w:after="0"/>
      </w:pPr>
      <w:r w:rsidRPr="004650F0">
        <w:rPr>
          <w:rStyle w:val="FootnoteReference"/>
          <w:rFonts w:ascii="Arial" w:hAnsi="Arial"/>
          <w:sz w:val="20"/>
        </w:rPr>
        <w:footnoteRef/>
      </w:r>
      <w:r w:rsidRPr="004650F0">
        <w:rPr>
          <w:rFonts w:ascii="Arial" w:hAnsi="Arial"/>
          <w:sz w:val="20"/>
        </w:rPr>
        <w:t xml:space="preserve"> </w:t>
      </w:r>
      <w:r w:rsidRPr="000B4C95">
        <w:rPr>
          <w:rFonts w:ascii="Arial" w:hAnsi="Arial"/>
          <w:bCs/>
          <w:sz w:val="20"/>
        </w:rPr>
        <w:t>Competence in prehospital care: evolving concepts</w:t>
      </w:r>
      <w:r>
        <w:rPr>
          <w:rFonts w:ascii="Arial" w:hAnsi="Arial"/>
          <w:b/>
          <w:bCs/>
          <w:sz w:val="20"/>
        </w:rPr>
        <w:t xml:space="preserve"> </w:t>
      </w:r>
      <w:r>
        <w:rPr>
          <w:rFonts w:ascii="Helvetica-Oblique" w:hAnsi="Helvetica-Oblique" w:cs="Helvetica-Oblique"/>
          <w:i/>
          <w:iCs/>
          <w:sz w:val="20"/>
          <w:szCs w:val="20"/>
        </w:rPr>
        <w:t xml:space="preserve">Emerg. Med. J. </w:t>
      </w:r>
      <w:r>
        <w:rPr>
          <w:rFonts w:ascii="Helvetica-Oblique" w:hAnsi="Helvetica-Oblique" w:cs="Helvetica-Oblique"/>
          <w:sz w:val="20"/>
          <w:szCs w:val="20"/>
        </w:rPr>
        <w:t>2005;</w:t>
      </w:r>
      <w:r w:rsidRPr="000B4C95">
        <w:rPr>
          <w:rFonts w:ascii="Helvetica-Oblique" w:hAnsi="Helvetica-Oblique" w:cs="Helvetica-Oblique"/>
          <w:b/>
          <w:sz w:val="20"/>
          <w:szCs w:val="20"/>
        </w:rPr>
        <w:t>22</w:t>
      </w:r>
      <w:r>
        <w:rPr>
          <w:rFonts w:ascii="Helvetica-Oblique" w:hAnsi="Helvetica-Oblique" w:cs="Helvetica-Oblique"/>
          <w:sz w:val="20"/>
          <w:szCs w:val="20"/>
        </w:rPr>
        <w:t>;516-519</w:t>
      </w:r>
    </w:p>
  </w:footnote>
  <w:footnote w:id="10">
    <w:p w:rsidR="00541AF3" w:rsidRDefault="00541AF3" w:rsidP="007E21C5">
      <w:pPr>
        <w:pStyle w:val="FootnoteText"/>
        <w:spacing w:after="0"/>
      </w:pPr>
      <w:r w:rsidRPr="004650F0">
        <w:rPr>
          <w:rStyle w:val="FootnoteReference"/>
          <w:rFonts w:ascii="Arial" w:hAnsi="Arial"/>
          <w:sz w:val="20"/>
        </w:rPr>
        <w:footnoteRef/>
      </w:r>
      <w:r w:rsidRPr="004650F0">
        <w:rPr>
          <w:rFonts w:ascii="Arial" w:hAnsi="Arial"/>
          <w:sz w:val="20"/>
        </w:rPr>
        <w:t xml:space="preserve"> </w:t>
      </w:r>
      <w:r w:rsidRPr="000B4C95">
        <w:rPr>
          <w:rFonts w:ascii="Arial" w:hAnsi="Arial"/>
          <w:sz w:val="20"/>
        </w:rPr>
        <w:t>Department of Health. NHS Emergency Planning Guidance: Planning for the</w:t>
      </w:r>
      <w:r>
        <w:rPr>
          <w:rFonts w:ascii="Arial" w:hAnsi="Arial"/>
          <w:sz w:val="20"/>
        </w:rPr>
        <w:t xml:space="preserve"> development and d</w:t>
      </w:r>
      <w:r w:rsidRPr="000B4C95">
        <w:rPr>
          <w:rFonts w:ascii="Arial" w:hAnsi="Arial"/>
          <w:sz w:val="20"/>
        </w:rPr>
        <w:t>eployment of Medical Emergency Response Incident Teams in the</w:t>
      </w:r>
      <w:r>
        <w:rPr>
          <w:rFonts w:ascii="Arial" w:hAnsi="Arial"/>
          <w:sz w:val="20"/>
        </w:rPr>
        <w:t xml:space="preserve"> provision of advanced medical care at the scene of an i</w:t>
      </w:r>
      <w:r w:rsidRPr="000B4C95">
        <w:rPr>
          <w:rFonts w:ascii="Arial" w:hAnsi="Arial"/>
          <w:sz w:val="20"/>
        </w:rPr>
        <w:t>ncident. 2009.</w:t>
      </w:r>
    </w:p>
  </w:footnote>
  <w:footnote w:id="11">
    <w:p w:rsidR="00541AF3" w:rsidRDefault="00541AF3" w:rsidP="007E21C5">
      <w:pPr>
        <w:pStyle w:val="FootnoteText"/>
        <w:spacing w:after="0"/>
      </w:pPr>
      <w:r w:rsidRPr="004650F0">
        <w:rPr>
          <w:rStyle w:val="FootnoteReference"/>
          <w:rFonts w:ascii="Arial" w:hAnsi="Arial"/>
          <w:sz w:val="20"/>
        </w:rPr>
        <w:footnoteRef/>
      </w:r>
      <w:r w:rsidRPr="004650F0">
        <w:rPr>
          <w:rFonts w:ascii="Arial" w:hAnsi="Arial"/>
          <w:sz w:val="20"/>
        </w:rPr>
        <w:t xml:space="preserve"> As defined within the Medical Leadership Competency Framework available at www.institute.nhs.uk</w:t>
      </w:r>
    </w:p>
  </w:footnote>
  <w:footnote w:id="12">
    <w:p w:rsidR="00541AF3" w:rsidRDefault="00541AF3" w:rsidP="00244C61">
      <w:pPr>
        <w:pStyle w:val="FootnoteText"/>
      </w:pPr>
      <w:r w:rsidRPr="00F76C3B">
        <w:rPr>
          <w:rStyle w:val="FootnoteReference"/>
          <w:rFonts w:ascii="Arial" w:hAnsi="Arial"/>
          <w:sz w:val="20"/>
        </w:rPr>
        <w:footnoteRef/>
      </w:r>
      <w:r w:rsidRPr="00F76C3B">
        <w:rPr>
          <w:rFonts w:ascii="Arial" w:hAnsi="Arial"/>
          <w:sz w:val="20"/>
        </w:rPr>
        <w:t xml:space="preserve"> see http://www.rcpch.ac.uk/Training/NTN-Grid-Scheme</w:t>
      </w:r>
    </w:p>
  </w:footnote>
  <w:footnote w:id="13">
    <w:p w:rsidR="00541AF3" w:rsidRDefault="00541AF3">
      <w:pPr>
        <w:pStyle w:val="FootnoteText"/>
      </w:pPr>
      <w:r>
        <w:rPr>
          <w:rStyle w:val="FootnoteReference"/>
        </w:rPr>
        <w:footnoteRef/>
      </w:r>
      <w:r>
        <w:t xml:space="preserve">  Regional Trauma Networks: NHS Clinical Advisory Group on Major Trauma Workforce. </w:t>
      </w:r>
      <w:r w:rsidRPr="00034613">
        <w:t>FWI Regional Trauma Network Team</w:t>
      </w:r>
      <w:r>
        <w:t>. March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3153"/>
    <w:multiLevelType w:val="hybridMultilevel"/>
    <w:tmpl w:val="D548BFB2"/>
    <w:lvl w:ilvl="0" w:tplc="E7B83216">
      <w:start w:val="2"/>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70338FC"/>
    <w:multiLevelType w:val="hybridMultilevel"/>
    <w:tmpl w:val="EAAEC34E"/>
    <w:lvl w:ilvl="0" w:tplc="6E9CE640">
      <w:start w:val="1"/>
      <w:numFmt w:val="lowerLetter"/>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
    <w:nsid w:val="093577AC"/>
    <w:multiLevelType w:val="multilevel"/>
    <w:tmpl w:val="A4C4867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644530D"/>
    <w:multiLevelType w:val="hybridMultilevel"/>
    <w:tmpl w:val="2CD6899C"/>
    <w:lvl w:ilvl="0" w:tplc="519AF2A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E7909D8"/>
    <w:multiLevelType w:val="hybridMultilevel"/>
    <w:tmpl w:val="2CD6899C"/>
    <w:lvl w:ilvl="0" w:tplc="519AF2A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3712ACD"/>
    <w:multiLevelType w:val="hybridMultilevel"/>
    <w:tmpl w:val="5EDE0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6C33ED"/>
    <w:multiLevelType w:val="singleLevel"/>
    <w:tmpl w:val="099CFFF4"/>
    <w:lvl w:ilvl="0">
      <w:start w:val="2"/>
      <w:numFmt w:val="lowerLetter"/>
      <w:lvlText w:val="(%1)"/>
      <w:lvlJc w:val="left"/>
      <w:pPr>
        <w:tabs>
          <w:tab w:val="num" w:pos="720"/>
        </w:tabs>
        <w:ind w:left="720" w:hanging="720"/>
      </w:pPr>
      <w:rPr>
        <w:rFonts w:cs="Times New Roman" w:hint="default"/>
      </w:rPr>
    </w:lvl>
  </w:abstractNum>
  <w:abstractNum w:abstractNumId="7">
    <w:nsid w:val="3CFF5292"/>
    <w:multiLevelType w:val="hybridMultilevel"/>
    <w:tmpl w:val="EF60F18E"/>
    <w:lvl w:ilvl="0" w:tplc="7FFE937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FA72285"/>
    <w:multiLevelType w:val="hybridMultilevel"/>
    <w:tmpl w:val="2C400F86"/>
    <w:lvl w:ilvl="0" w:tplc="5B1EE7B2">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1F06929"/>
    <w:multiLevelType w:val="hybridMultilevel"/>
    <w:tmpl w:val="460A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D156C0"/>
    <w:multiLevelType w:val="hybridMultilevel"/>
    <w:tmpl w:val="2CFAC81C"/>
    <w:lvl w:ilvl="0" w:tplc="519AF2A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7042D81"/>
    <w:multiLevelType w:val="hybridMultilevel"/>
    <w:tmpl w:val="6F404EBE"/>
    <w:lvl w:ilvl="0" w:tplc="2B465F88">
      <w:start w:val="1"/>
      <w:numFmt w:val="lowerLetter"/>
      <w:lvlText w:val="(%1)"/>
      <w:lvlJc w:val="left"/>
      <w:pPr>
        <w:ind w:left="720" w:hanging="360"/>
      </w:pPr>
      <w:rPr>
        <w:rFonts w:ascii="Helvetica Neue" w:eastAsia="Times New Roman" w:hAnsi="Helvetica Neue" w:cs="Cambria"/>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2"/>
  </w:num>
  <w:num w:numId="4">
    <w:abstractNumId w:val="5"/>
  </w:num>
  <w:num w:numId="5">
    <w:abstractNumId w:val="10"/>
  </w:num>
  <w:num w:numId="6">
    <w:abstractNumId w:val="11"/>
  </w:num>
  <w:num w:numId="7">
    <w:abstractNumId w:val="8"/>
  </w:num>
  <w:num w:numId="8">
    <w:abstractNumId w:val="6"/>
  </w:num>
  <w:num w:numId="9">
    <w:abstractNumId w:val="1"/>
  </w:num>
  <w:num w:numId="10">
    <w:abstractNumId w:val="7"/>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FC2777"/>
    <w:rsid w:val="00034613"/>
    <w:rsid w:val="0005129C"/>
    <w:rsid w:val="00085167"/>
    <w:rsid w:val="00097B8F"/>
    <w:rsid w:val="000B4C95"/>
    <w:rsid w:val="000E597A"/>
    <w:rsid w:val="00123719"/>
    <w:rsid w:val="001B22E8"/>
    <w:rsid w:val="00244C61"/>
    <w:rsid w:val="0026517E"/>
    <w:rsid w:val="002745F2"/>
    <w:rsid w:val="00297870"/>
    <w:rsid w:val="004471D5"/>
    <w:rsid w:val="004650F0"/>
    <w:rsid w:val="00522D7B"/>
    <w:rsid w:val="00534FBB"/>
    <w:rsid w:val="00541AF3"/>
    <w:rsid w:val="005C64EE"/>
    <w:rsid w:val="006D5357"/>
    <w:rsid w:val="007251F6"/>
    <w:rsid w:val="0073552D"/>
    <w:rsid w:val="00786014"/>
    <w:rsid w:val="007A3C69"/>
    <w:rsid w:val="007E21C5"/>
    <w:rsid w:val="007F0377"/>
    <w:rsid w:val="00804378"/>
    <w:rsid w:val="0084308F"/>
    <w:rsid w:val="008E2974"/>
    <w:rsid w:val="00B17C5E"/>
    <w:rsid w:val="00B65B18"/>
    <w:rsid w:val="00B939BB"/>
    <w:rsid w:val="00BC054C"/>
    <w:rsid w:val="00C16A6A"/>
    <w:rsid w:val="00CD6001"/>
    <w:rsid w:val="00D058D4"/>
    <w:rsid w:val="00DC3E35"/>
    <w:rsid w:val="00EA761C"/>
    <w:rsid w:val="00F565CC"/>
    <w:rsid w:val="00F76C3B"/>
    <w:rsid w:val="00FC27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FBB"/>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05129C"/>
  </w:style>
  <w:style w:type="character" w:customStyle="1" w:styleId="FootnoteTextChar">
    <w:name w:val="Footnote Text Char"/>
    <w:basedOn w:val="DefaultParagraphFont"/>
    <w:link w:val="FootnoteText"/>
    <w:uiPriority w:val="99"/>
    <w:locked/>
    <w:rsid w:val="0005129C"/>
    <w:rPr>
      <w:rFonts w:ascii="Cambria" w:eastAsia="Times New Roman" w:hAnsi="Cambria" w:cs="Times New Roman"/>
    </w:rPr>
  </w:style>
  <w:style w:type="character" w:styleId="FootnoteReference">
    <w:name w:val="footnote reference"/>
    <w:basedOn w:val="DefaultParagraphFont"/>
    <w:uiPriority w:val="99"/>
    <w:rsid w:val="0005129C"/>
    <w:rPr>
      <w:rFonts w:cs="Times New Roman"/>
      <w:vertAlign w:val="superscript"/>
    </w:rPr>
  </w:style>
  <w:style w:type="table" w:styleId="TableGrid">
    <w:name w:val="Table Grid"/>
    <w:basedOn w:val="TableNormal"/>
    <w:uiPriority w:val="99"/>
    <w:rsid w:val="00F565C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7E21C5"/>
    <w:rPr>
      <w:rFonts w:cs="Times New Roman"/>
      <w:color w:val="0000FF"/>
      <w:u w:val="single"/>
    </w:rPr>
  </w:style>
  <w:style w:type="paragraph" w:customStyle="1" w:styleId="Default">
    <w:name w:val="Default"/>
    <w:uiPriority w:val="99"/>
    <w:rsid w:val="007E21C5"/>
    <w:pPr>
      <w:autoSpaceDE w:val="0"/>
      <w:autoSpaceDN w:val="0"/>
      <w:adjustRightInd w:val="0"/>
    </w:pPr>
    <w:rPr>
      <w:rFonts w:ascii="Arial" w:eastAsia="Times New Roman" w:hAnsi="Arial" w:cs="Arial"/>
      <w:color w:val="000000"/>
      <w:sz w:val="24"/>
      <w:szCs w:val="24"/>
      <w:lang w:val="en-US" w:eastAsia="en-US"/>
    </w:rPr>
  </w:style>
  <w:style w:type="paragraph" w:styleId="ListParagraph">
    <w:name w:val="List Paragraph"/>
    <w:basedOn w:val="Normal"/>
    <w:uiPriority w:val="99"/>
    <w:qFormat/>
    <w:rsid w:val="00244C61"/>
    <w:pPr>
      <w:ind w:left="720"/>
      <w:contextualSpacing/>
    </w:pPr>
  </w:style>
  <w:style w:type="paragraph" w:styleId="Footer">
    <w:name w:val="footer"/>
    <w:basedOn w:val="Normal"/>
    <w:link w:val="FooterChar"/>
    <w:uiPriority w:val="99"/>
    <w:rsid w:val="0026517E"/>
    <w:pPr>
      <w:tabs>
        <w:tab w:val="center" w:pos="4320"/>
        <w:tab w:val="right" w:pos="8640"/>
      </w:tabs>
      <w:spacing w:after="0"/>
    </w:pPr>
  </w:style>
  <w:style w:type="character" w:customStyle="1" w:styleId="FooterChar">
    <w:name w:val="Footer Char"/>
    <w:basedOn w:val="DefaultParagraphFont"/>
    <w:link w:val="Footer"/>
    <w:uiPriority w:val="99"/>
    <w:locked/>
    <w:rsid w:val="0026517E"/>
    <w:rPr>
      <w:rFonts w:cs="Times New Roman"/>
    </w:rPr>
  </w:style>
  <w:style w:type="character" w:styleId="PageNumber">
    <w:name w:val="page number"/>
    <w:basedOn w:val="DefaultParagraphFont"/>
    <w:uiPriority w:val="99"/>
    <w:rsid w:val="0026517E"/>
    <w:rPr>
      <w:rFonts w:cs="Times New Roman"/>
    </w:rPr>
  </w:style>
  <w:style w:type="paragraph" w:customStyle="1" w:styleId="BodyA">
    <w:name w:val="Body A"/>
    <w:uiPriority w:val="99"/>
    <w:rsid w:val="00522D7B"/>
    <w:rPr>
      <w:rFonts w:ascii="Helvetica" w:eastAsia="?????? Pro W3" w:hAnsi="Helvetica"/>
      <w:color w:val="000000"/>
      <w:sz w:val="24"/>
      <w:szCs w:val="20"/>
      <w:lang w:val="en-US" w:eastAsia="en-US"/>
    </w:rPr>
  </w:style>
</w:styles>
</file>

<file path=word/webSettings.xml><?xml version="1.0" encoding="utf-8"?>
<w:webSettings xmlns:r="http://schemas.openxmlformats.org/officeDocument/2006/relationships" xmlns:w="http://schemas.openxmlformats.org/wordprocessingml/2006/main">
  <w:divs>
    <w:div w:id="509417596">
      <w:bodyDiv w:val="1"/>
      <w:marLeft w:val="0"/>
      <w:marRight w:val="0"/>
      <w:marTop w:val="0"/>
      <w:marBottom w:val="0"/>
      <w:divBdr>
        <w:top w:val="none" w:sz="0" w:space="0" w:color="auto"/>
        <w:left w:val="none" w:sz="0" w:space="0" w:color="auto"/>
        <w:bottom w:val="none" w:sz="0" w:space="0" w:color="auto"/>
        <w:right w:val="none" w:sz="0" w:space="0" w:color="auto"/>
      </w:divBdr>
    </w:div>
    <w:div w:id="1169293416">
      <w:marLeft w:val="0"/>
      <w:marRight w:val="0"/>
      <w:marTop w:val="0"/>
      <w:marBottom w:val="0"/>
      <w:divBdr>
        <w:top w:val="none" w:sz="0" w:space="0" w:color="auto"/>
        <w:left w:val="none" w:sz="0" w:space="0" w:color="auto"/>
        <w:bottom w:val="none" w:sz="0" w:space="0" w:color="auto"/>
        <w:right w:val="none" w:sz="0" w:space="0" w:color="auto"/>
      </w:divBdr>
      <w:divsChild>
        <w:div w:id="1169293414">
          <w:marLeft w:val="533"/>
          <w:marRight w:val="0"/>
          <w:marTop w:val="0"/>
          <w:marBottom w:val="0"/>
          <w:divBdr>
            <w:top w:val="none" w:sz="0" w:space="0" w:color="auto"/>
            <w:left w:val="none" w:sz="0" w:space="0" w:color="auto"/>
            <w:bottom w:val="none" w:sz="0" w:space="0" w:color="auto"/>
            <w:right w:val="none" w:sz="0" w:space="0" w:color="auto"/>
          </w:divBdr>
        </w:div>
        <w:div w:id="1169293418">
          <w:marLeft w:val="1166"/>
          <w:marRight w:val="0"/>
          <w:marTop w:val="0"/>
          <w:marBottom w:val="0"/>
          <w:divBdr>
            <w:top w:val="none" w:sz="0" w:space="0" w:color="auto"/>
            <w:left w:val="none" w:sz="0" w:space="0" w:color="auto"/>
            <w:bottom w:val="none" w:sz="0" w:space="0" w:color="auto"/>
            <w:right w:val="none" w:sz="0" w:space="0" w:color="auto"/>
          </w:divBdr>
        </w:div>
        <w:div w:id="1169293420">
          <w:marLeft w:val="533"/>
          <w:marRight w:val="0"/>
          <w:marTop w:val="0"/>
          <w:marBottom w:val="0"/>
          <w:divBdr>
            <w:top w:val="none" w:sz="0" w:space="0" w:color="auto"/>
            <w:left w:val="none" w:sz="0" w:space="0" w:color="auto"/>
            <w:bottom w:val="none" w:sz="0" w:space="0" w:color="auto"/>
            <w:right w:val="none" w:sz="0" w:space="0" w:color="auto"/>
          </w:divBdr>
        </w:div>
        <w:div w:id="1169293421">
          <w:marLeft w:val="1166"/>
          <w:marRight w:val="0"/>
          <w:marTop w:val="0"/>
          <w:marBottom w:val="0"/>
          <w:divBdr>
            <w:top w:val="none" w:sz="0" w:space="0" w:color="auto"/>
            <w:left w:val="none" w:sz="0" w:space="0" w:color="auto"/>
            <w:bottom w:val="none" w:sz="0" w:space="0" w:color="auto"/>
            <w:right w:val="none" w:sz="0" w:space="0" w:color="auto"/>
          </w:divBdr>
        </w:div>
        <w:div w:id="1169293424">
          <w:marLeft w:val="533"/>
          <w:marRight w:val="0"/>
          <w:marTop w:val="0"/>
          <w:marBottom w:val="0"/>
          <w:divBdr>
            <w:top w:val="none" w:sz="0" w:space="0" w:color="auto"/>
            <w:left w:val="none" w:sz="0" w:space="0" w:color="auto"/>
            <w:bottom w:val="none" w:sz="0" w:space="0" w:color="auto"/>
            <w:right w:val="none" w:sz="0" w:space="0" w:color="auto"/>
          </w:divBdr>
        </w:div>
        <w:div w:id="1169293425">
          <w:marLeft w:val="533"/>
          <w:marRight w:val="0"/>
          <w:marTop w:val="0"/>
          <w:marBottom w:val="0"/>
          <w:divBdr>
            <w:top w:val="none" w:sz="0" w:space="0" w:color="auto"/>
            <w:left w:val="none" w:sz="0" w:space="0" w:color="auto"/>
            <w:bottom w:val="none" w:sz="0" w:space="0" w:color="auto"/>
            <w:right w:val="none" w:sz="0" w:space="0" w:color="auto"/>
          </w:divBdr>
        </w:div>
        <w:div w:id="1169293426">
          <w:marLeft w:val="533"/>
          <w:marRight w:val="0"/>
          <w:marTop w:val="0"/>
          <w:marBottom w:val="0"/>
          <w:divBdr>
            <w:top w:val="none" w:sz="0" w:space="0" w:color="auto"/>
            <w:left w:val="none" w:sz="0" w:space="0" w:color="auto"/>
            <w:bottom w:val="none" w:sz="0" w:space="0" w:color="auto"/>
            <w:right w:val="none" w:sz="0" w:space="0" w:color="auto"/>
          </w:divBdr>
        </w:div>
        <w:div w:id="1169293428">
          <w:marLeft w:val="533"/>
          <w:marRight w:val="0"/>
          <w:marTop w:val="0"/>
          <w:marBottom w:val="0"/>
          <w:divBdr>
            <w:top w:val="none" w:sz="0" w:space="0" w:color="auto"/>
            <w:left w:val="none" w:sz="0" w:space="0" w:color="auto"/>
            <w:bottom w:val="none" w:sz="0" w:space="0" w:color="auto"/>
            <w:right w:val="none" w:sz="0" w:space="0" w:color="auto"/>
          </w:divBdr>
        </w:div>
      </w:divsChild>
    </w:div>
    <w:div w:id="1169293429">
      <w:marLeft w:val="0"/>
      <w:marRight w:val="0"/>
      <w:marTop w:val="0"/>
      <w:marBottom w:val="0"/>
      <w:divBdr>
        <w:top w:val="none" w:sz="0" w:space="0" w:color="auto"/>
        <w:left w:val="none" w:sz="0" w:space="0" w:color="auto"/>
        <w:bottom w:val="none" w:sz="0" w:space="0" w:color="auto"/>
        <w:right w:val="none" w:sz="0" w:space="0" w:color="auto"/>
      </w:divBdr>
      <w:divsChild>
        <w:div w:id="1169293415">
          <w:marLeft w:val="533"/>
          <w:marRight w:val="0"/>
          <w:marTop w:val="0"/>
          <w:marBottom w:val="0"/>
          <w:divBdr>
            <w:top w:val="none" w:sz="0" w:space="0" w:color="auto"/>
            <w:left w:val="none" w:sz="0" w:space="0" w:color="auto"/>
            <w:bottom w:val="none" w:sz="0" w:space="0" w:color="auto"/>
            <w:right w:val="none" w:sz="0" w:space="0" w:color="auto"/>
          </w:divBdr>
        </w:div>
        <w:div w:id="1169293417">
          <w:marLeft w:val="533"/>
          <w:marRight w:val="0"/>
          <w:marTop w:val="0"/>
          <w:marBottom w:val="0"/>
          <w:divBdr>
            <w:top w:val="none" w:sz="0" w:space="0" w:color="auto"/>
            <w:left w:val="none" w:sz="0" w:space="0" w:color="auto"/>
            <w:bottom w:val="none" w:sz="0" w:space="0" w:color="auto"/>
            <w:right w:val="none" w:sz="0" w:space="0" w:color="auto"/>
          </w:divBdr>
        </w:div>
        <w:div w:id="1169293419">
          <w:marLeft w:val="1166"/>
          <w:marRight w:val="0"/>
          <w:marTop w:val="0"/>
          <w:marBottom w:val="0"/>
          <w:divBdr>
            <w:top w:val="none" w:sz="0" w:space="0" w:color="auto"/>
            <w:left w:val="none" w:sz="0" w:space="0" w:color="auto"/>
            <w:bottom w:val="none" w:sz="0" w:space="0" w:color="auto"/>
            <w:right w:val="none" w:sz="0" w:space="0" w:color="auto"/>
          </w:divBdr>
        </w:div>
        <w:div w:id="1169293422">
          <w:marLeft w:val="533"/>
          <w:marRight w:val="0"/>
          <w:marTop w:val="0"/>
          <w:marBottom w:val="0"/>
          <w:divBdr>
            <w:top w:val="none" w:sz="0" w:space="0" w:color="auto"/>
            <w:left w:val="none" w:sz="0" w:space="0" w:color="auto"/>
            <w:bottom w:val="none" w:sz="0" w:space="0" w:color="auto"/>
            <w:right w:val="none" w:sz="0" w:space="0" w:color="auto"/>
          </w:divBdr>
        </w:div>
        <w:div w:id="1169293423">
          <w:marLeft w:val="533"/>
          <w:marRight w:val="0"/>
          <w:marTop w:val="0"/>
          <w:marBottom w:val="0"/>
          <w:divBdr>
            <w:top w:val="none" w:sz="0" w:space="0" w:color="auto"/>
            <w:left w:val="none" w:sz="0" w:space="0" w:color="auto"/>
            <w:bottom w:val="none" w:sz="0" w:space="0" w:color="auto"/>
            <w:right w:val="none" w:sz="0" w:space="0" w:color="auto"/>
          </w:divBdr>
        </w:div>
        <w:div w:id="1169293427">
          <w:marLeft w:val="1166"/>
          <w:marRight w:val="0"/>
          <w:marTop w:val="0"/>
          <w:marBottom w:val="0"/>
          <w:divBdr>
            <w:top w:val="none" w:sz="0" w:space="0" w:color="auto"/>
            <w:left w:val="none" w:sz="0" w:space="0" w:color="auto"/>
            <w:bottom w:val="none" w:sz="0" w:space="0" w:color="auto"/>
            <w:right w:val="none" w:sz="0" w:space="0" w:color="auto"/>
          </w:divBdr>
        </w:div>
        <w:div w:id="1169293430">
          <w:marLeft w:val="533"/>
          <w:marRight w:val="0"/>
          <w:marTop w:val="0"/>
          <w:marBottom w:val="0"/>
          <w:divBdr>
            <w:top w:val="none" w:sz="0" w:space="0" w:color="auto"/>
            <w:left w:val="none" w:sz="0" w:space="0" w:color="auto"/>
            <w:bottom w:val="none" w:sz="0" w:space="0" w:color="auto"/>
            <w:right w:val="none" w:sz="0" w:space="0" w:color="auto"/>
          </w:divBdr>
        </w:div>
        <w:div w:id="1169293431">
          <w:marLeft w:val="533"/>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killsforhealth.org.uk/page/career-frame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4224</Words>
  <Characters>23956</Characters>
  <Application>Microsoft Office Word</Application>
  <DocSecurity>0</DocSecurity>
  <Lines>199</Lines>
  <Paragraphs>56</Paragraphs>
  <ScaleCrop>false</ScaleCrop>
  <Company>university of leicester</Company>
  <LinksUpToDate>false</LinksUpToDate>
  <CharactersWithSpaces>28124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note: Pre-hospital Emergency Medicine</dc:title>
  <dc:subject/>
  <dc:creator>Rod Mackenzie</dc:creator>
  <cp:keywords/>
  <dc:description/>
  <cp:lastModifiedBy>suzie.potter</cp:lastModifiedBy>
  <cp:revision>2</cp:revision>
  <dcterms:created xsi:type="dcterms:W3CDTF">2011-09-19T10:19:00Z</dcterms:created>
  <dcterms:modified xsi:type="dcterms:W3CDTF">2011-09-19T10:19:00Z</dcterms:modified>
</cp:coreProperties>
</file>